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229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资源与环境学院2027年遴选推荐优秀应届本科毕业生免试攻读研究生实施办法</w:t>
      </w:r>
    </w:p>
    <w:p w14:paraId="31A5EFD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rPr>
      </w:pPr>
    </w:p>
    <w:p w14:paraId="2B36F5CB">
      <w:pPr>
        <w:keepNext w:val="0"/>
        <w:keepLines w:val="0"/>
        <w:widowControl/>
        <w:suppressLineNumbers w:val="0"/>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教育部《全国高等学校推荐优秀应届本科毕业生免试攻读研究生工作管理规定》（教学厅〔2026〕1号）《山东农业大学2027年遴选推荐优秀应届本科毕业生免试攻读研究生工作办法》等文件精神，进一步规范推免生遴选推荐工作，结合学院实际，制定本办法。</w:t>
      </w:r>
      <w:r>
        <w:rPr>
          <w:rFonts w:hint="eastAsia" w:ascii="Times New Roman" w:hAnsi="Times New Roman" w:eastAsia="仿宋_GB2312" w:cs="Times New Roman"/>
          <w:sz w:val="32"/>
          <w:szCs w:val="32"/>
          <w:lang w:val="en-US" w:eastAsia="zh-CN"/>
        </w:rPr>
        <w:commentReference w:id="0"/>
      </w:r>
    </w:p>
    <w:p w14:paraId="53512D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w:t>
      </w:r>
      <w:r>
        <w:rPr>
          <w:rFonts w:hint="eastAsia" w:ascii="黑体" w:hAnsi="黑体" w:eastAsia="黑体" w:cs="黑体"/>
          <w:sz w:val="32"/>
          <w:szCs w:val="32"/>
        </w:rPr>
        <w:t>成立推免工作小组</w:t>
      </w:r>
    </w:p>
    <w:p w14:paraId="60BB37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院成立以党委书记、院长为组长，党委副书记、分管研究生和教学工作的副院长、教师代表为成员的推荐免试工作小组（不少于7人），负责制订学院推免工作细则，确定推免名额分配方案，对学院推免工作进行指导、管理、监督。落实集体议事和集体决策制度，实行回避制度。</w:t>
      </w:r>
    </w:p>
    <w:p w14:paraId="74260E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学科成立由学科主任、专业主任、专业教师、辅导员组成的专家综合评价小组（不少于7人)，负责本学科专业学生的创新能力和综合素质考查与排序成绩计算工作。</w:t>
      </w:r>
    </w:p>
    <w:p w14:paraId="52966B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二</w:t>
      </w:r>
      <w:r>
        <w:rPr>
          <w:rFonts w:hint="eastAsia" w:ascii="黑体" w:hAnsi="黑体" w:eastAsia="黑体" w:cs="黑体"/>
          <w:sz w:val="32"/>
          <w:szCs w:val="32"/>
          <w:lang w:eastAsia="zh-CN"/>
        </w:rPr>
        <w:t>、</w:t>
      </w:r>
      <w:r>
        <w:rPr>
          <w:rFonts w:hint="default" w:ascii="黑体" w:hAnsi="黑体" w:eastAsia="黑体" w:cs="黑体"/>
          <w:sz w:val="32"/>
          <w:szCs w:val="32"/>
        </w:rPr>
        <w:t>推荐免试攻读研究生基本条件</w:t>
      </w:r>
    </w:p>
    <w:p w14:paraId="1E14D5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应届本科毕业生，系我院通过普通高考招生录取的全日制本科生（不含专升本、第二学士学位、省属公费农科生）。</w:t>
      </w:r>
    </w:p>
    <w:p w14:paraId="114AF3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遵守中华人民共和国宪法和法律、诚实守信。</w:t>
      </w:r>
    </w:p>
    <w:p w14:paraId="058604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不存在考试作弊和学术不端行为。</w:t>
      </w:r>
    </w:p>
    <w:p w14:paraId="7A17AF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勤奋学习，刻苦钻研，成绩优秀，能系统掌握本学科专业领域的基础理论、专业知识和基本技能；前三年必修环节学习成绩（按学分加权平均分排名，多次重修的课程按照最高成绩计算）位于所在专业前30.00%。有特殊学术专长的学生，学习成绩可适当放宽至专业前50.00%，但需要通过学院审核鉴定或答辩并公示。</w:t>
      </w:r>
    </w:p>
    <w:p w14:paraId="35AC89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 具有从事科学研究、专业实践的能力和基础，以及较强的创新意识和潜质。</w:t>
      </w:r>
    </w:p>
    <w:p w14:paraId="41C8D5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 外语水平须满足以下条件之一：CET-4或CET-6≥426分；CJT-4、CRT-4、CGT-4或CJT-6、CRT-6、CGT-6≥60分；英语专业通过TEM-4，日语专业通过NSS4，俄语专业通过ТРЯ4。对于前三年必修环节学习成绩（按学分加权平均分排名，多次重修的课程按照最高成绩计算）位于所在专业前10.00%的优秀学生或依据《山东农业大学大学生创新创业竞赛管理与奖励办法》获得国家级竞赛奖励的学生，外语水平要求可以适当放宽，但须满足以下条件之一：CET-4或CET-6≥355分；CJT-4、CRT-4、CGT-4或CJT-6、CRT-6、CGT-6≥50分；英语专业TEM-4≥50分、日语专业NSS4≥50分，俄语专业ТРЯ4≥50分。</w:t>
      </w:r>
    </w:p>
    <w:p w14:paraId="0C5CF4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 推免生创新成果原则上仅限学生本科阶段在核心期刊上以独立作者或第一作者发表的与学业相关的科研论文；作为主力成员参加与学业相关的国内权威科研竞赛（全国赛）并获得三等奖以上奖励（国际赛事参照执行，但不得低于国内赛事相关要求）。学生与直系亲属或学历、职称、职务明显高于本人者合作的科研成果、竞赛奖项等仅作为参考，不纳入学生本人推免遴选综合评价成绩计算体系，同等条件下可优先考虑，按照“权威、可信、从严”的原则进行审核。</w:t>
      </w:r>
    </w:p>
    <w:p w14:paraId="4EFC81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特殊学术专长的推免生，需经三名以上本院本专业教授联名推荐，经学院专家审核小组（专家组成员应具有相关学科副教授以上职称，一般不少于3人）会同本研究领域权威专家、相关期刊杂志单位或赛事主办单位等，对申请推免资格学生的科研创新成果、论文、竞赛获奖奖项及内容进行审核鉴定，排除抄袭、造假、冒名及有名无实等情况，并组织学生在学院一定范围内进行公开答辩。对学生提交的多篇科研成果实行代表作评价，评价重点聚焦到创新质量和个人贡献。专家审核小组及每位成员都要给出明确审核鉴定意见并签字存档。答辩全程要录音录像，答辩结果要公开公示。通过审核鉴定或答辩的学生特殊学术专长，须本院网站上予以公示。未通过审核鉴定或答辩的，不得纳入推免遴选综合评价成绩计算体系。</w:t>
      </w:r>
    </w:p>
    <w:p w14:paraId="11BEFB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三</w:t>
      </w:r>
      <w:r>
        <w:rPr>
          <w:rFonts w:hint="eastAsia" w:ascii="黑体" w:hAnsi="黑体" w:eastAsia="黑体" w:cs="黑体"/>
          <w:sz w:val="32"/>
          <w:szCs w:val="32"/>
          <w:lang w:eastAsia="zh-CN"/>
        </w:rPr>
        <w:t>、</w:t>
      </w:r>
      <w:r>
        <w:rPr>
          <w:rFonts w:hint="default" w:ascii="黑体" w:hAnsi="黑体" w:eastAsia="黑体" w:cs="黑体"/>
          <w:sz w:val="32"/>
          <w:szCs w:val="32"/>
        </w:rPr>
        <w:t>科研创新能力和综合素质考查</w:t>
      </w:r>
    </w:p>
    <w:p w14:paraId="696926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推免生科研创新能力考查包括科研记录（由所在实验室指导老师签字）或专业教师推荐信、学术论文、发明专利、实用新型专利、主持或参与大学生创新创业训练计划等科研项目、学术竞赛奖励、与科研相关志愿服务、赴国际组织实习学习等，通过计算得到创新能力得分</w:t>
      </w:r>
      <w:r>
        <w:rPr>
          <w:rFonts w:hint="eastAsia" w:ascii="Times New Roman" w:hAnsi="Times New Roman" w:eastAsia="仿宋_GB2312" w:cs="Times New Roman"/>
          <w:sz w:val="32"/>
          <w:szCs w:val="32"/>
          <w:lang w:eastAsia="zh-CN"/>
        </w:rPr>
        <w:t>。</w:t>
      </w:r>
    </w:p>
    <w:p w14:paraId="4E65EE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p>
    <w:p w14:paraId="05B2C9A5">
      <w:pPr>
        <w:widowControl w:val="0"/>
        <w:adjustRightInd w:val="0"/>
        <w:snapToGrid w:val="0"/>
        <w:spacing w:line="360" w:lineRule="exact"/>
        <w:ind w:firstLine="562" w:firstLineChars="200"/>
        <w:jc w:val="center"/>
        <w:rPr>
          <w:rFonts w:ascii="仿宋" w:hAnsi="仿宋" w:eastAsia="仿宋" w:cs="仿宋"/>
          <w:b/>
          <w:kern w:val="2"/>
          <w:sz w:val="28"/>
          <w:szCs w:val="28"/>
          <w:lang w:val="en-US" w:eastAsia="zh-CN" w:bidi="ar-SA"/>
        </w:rPr>
      </w:pPr>
      <w:r>
        <w:rPr>
          <w:rFonts w:ascii="仿宋" w:hAnsi="仿宋" w:eastAsia="仿宋" w:cs="仿宋"/>
          <w:b/>
          <w:kern w:val="2"/>
          <w:sz w:val="28"/>
          <w:szCs w:val="28"/>
          <w:lang w:val="en-US" w:eastAsia="zh-CN" w:bidi="ar-SA"/>
        </w:rPr>
        <w:t>创新能力考查指标体系</w:t>
      </w:r>
    </w:p>
    <w:p w14:paraId="36EE611C">
      <w:pPr>
        <w:widowControl w:val="0"/>
        <w:adjustRightInd w:val="0"/>
        <w:snapToGrid w:val="0"/>
        <w:spacing w:line="300" w:lineRule="exact"/>
        <w:ind w:firstLine="480" w:firstLineChars="200"/>
        <w:jc w:val="left"/>
        <w:rPr>
          <w:rFonts w:ascii="仿宋" w:hAnsi="仿宋" w:eastAsia="仿宋" w:cs="仿宋"/>
          <w:kern w:val="2"/>
          <w:sz w:val="24"/>
          <w:szCs w:val="24"/>
          <w:lang w:val="en-US" w:eastAsia="zh-CN" w:bidi="ar-SA"/>
        </w:rPr>
      </w:pPr>
    </w:p>
    <w:tbl>
      <w:tblPr>
        <w:tblStyle w:val="5"/>
        <w:tblW w:w="8359" w:type="dxa"/>
        <w:jc w:val="center"/>
        <w:tblLayout w:type="fixed"/>
        <w:tblCellMar>
          <w:top w:w="0" w:type="dxa"/>
          <w:left w:w="108" w:type="dxa"/>
          <w:bottom w:w="0" w:type="dxa"/>
          <w:right w:w="108" w:type="dxa"/>
        </w:tblCellMar>
      </w:tblPr>
      <w:tblGrid>
        <w:gridCol w:w="421"/>
        <w:gridCol w:w="1134"/>
        <w:gridCol w:w="850"/>
        <w:gridCol w:w="3260"/>
        <w:gridCol w:w="851"/>
        <w:gridCol w:w="1843"/>
      </w:tblGrid>
      <w:tr w14:paraId="1EBD4AA1">
        <w:tblPrEx>
          <w:tblCellMar>
            <w:top w:w="0" w:type="dxa"/>
            <w:left w:w="108" w:type="dxa"/>
            <w:bottom w:w="0" w:type="dxa"/>
            <w:right w:w="108" w:type="dxa"/>
          </w:tblCellMar>
        </w:tblPrEx>
        <w:trPr>
          <w:trHeight w:val="541"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vAlign w:val="center"/>
          </w:tcPr>
          <w:p w14:paraId="7210426A">
            <w:pPr>
              <w:keepNext w:val="0"/>
              <w:keepLines w:val="0"/>
              <w:widowControl/>
              <w:suppressLineNumbers w:val="0"/>
              <w:adjustRightInd w:val="0"/>
              <w:snapToGrid w:val="0"/>
              <w:spacing w:before="0" w:beforeAutospacing="0" w:after="0" w:afterAutospacing="0" w:line="480" w:lineRule="auto"/>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lang w:val="en-US" w:eastAsia="zh-CN"/>
              </w:rPr>
              <w:t>序</w:t>
            </w:r>
            <w:r>
              <w:rPr>
                <w:rFonts w:hint="eastAsia" w:ascii="仿宋" w:hAnsi="仿宋" w:eastAsia="仿宋" w:cs="宋体"/>
                <w:color w:val="000000"/>
                <w:kern w:val="0"/>
                <w:sz w:val="16"/>
                <w:szCs w:val="16"/>
              </w:rPr>
              <w:t>号</w:t>
            </w:r>
          </w:p>
        </w:tc>
        <w:tc>
          <w:tcPr>
            <w:tcW w:w="1134" w:type="dxa"/>
            <w:tcBorders>
              <w:top w:val="single" w:color="auto" w:sz="4" w:space="0"/>
              <w:left w:val="nil"/>
              <w:bottom w:val="single" w:color="auto" w:sz="4" w:space="0"/>
              <w:right w:val="single" w:color="auto" w:sz="4" w:space="0"/>
            </w:tcBorders>
            <w:shd w:val="clear" w:color="auto" w:fill="auto"/>
            <w:vAlign w:val="center"/>
          </w:tcPr>
          <w:p w14:paraId="74D0D524">
            <w:pPr>
              <w:keepNext w:val="0"/>
              <w:keepLines w:val="0"/>
              <w:widowControl/>
              <w:suppressLineNumbers w:val="0"/>
              <w:adjustRightInd w:val="0"/>
              <w:snapToGrid w:val="0"/>
              <w:spacing w:before="0" w:beforeAutospacing="0" w:after="0" w:afterAutospacing="0" w:line="480" w:lineRule="auto"/>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评价内容</w:t>
            </w:r>
          </w:p>
        </w:tc>
        <w:tc>
          <w:tcPr>
            <w:tcW w:w="850" w:type="dxa"/>
            <w:tcBorders>
              <w:top w:val="single" w:color="auto" w:sz="4" w:space="0"/>
              <w:left w:val="nil"/>
              <w:bottom w:val="single" w:color="auto" w:sz="4" w:space="0"/>
              <w:right w:val="single" w:color="auto" w:sz="4" w:space="0"/>
            </w:tcBorders>
            <w:shd w:val="clear" w:color="auto" w:fill="auto"/>
            <w:vAlign w:val="center"/>
          </w:tcPr>
          <w:p w14:paraId="0A8DB101">
            <w:pPr>
              <w:keepNext w:val="0"/>
              <w:keepLines w:val="0"/>
              <w:widowControl/>
              <w:suppressLineNumbers w:val="0"/>
              <w:adjustRightInd w:val="0"/>
              <w:snapToGrid w:val="0"/>
              <w:spacing w:before="0" w:beforeAutospacing="0" w:after="0" w:afterAutospacing="0" w:line="480" w:lineRule="auto"/>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权重（%）</w:t>
            </w:r>
          </w:p>
        </w:tc>
        <w:tc>
          <w:tcPr>
            <w:tcW w:w="3260" w:type="dxa"/>
            <w:tcBorders>
              <w:top w:val="single" w:color="auto" w:sz="4" w:space="0"/>
              <w:left w:val="nil"/>
              <w:bottom w:val="single" w:color="auto" w:sz="4" w:space="0"/>
              <w:right w:val="single" w:color="auto" w:sz="4" w:space="0"/>
            </w:tcBorders>
            <w:shd w:val="clear" w:color="auto" w:fill="auto"/>
            <w:vAlign w:val="center"/>
          </w:tcPr>
          <w:p w14:paraId="78CC2EA1">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评价指标</w:t>
            </w:r>
          </w:p>
        </w:tc>
        <w:tc>
          <w:tcPr>
            <w:tcW w:w="851" w:type="dxa"/>
            <w:tcBorders>
              <w:top w:val="single" w:color="auto" w:sz="4" w:space="0"/>
              <w:left w:val="nil"/>
              <w:bottom w:val="single" w:color="auto" w:sz="4" w:space="0"/>
              <w:right w:val="single" w:color="auto" w:sz="4" w:space="0"/>
            </w:tcBorders>
            <w:shd w:val="clear" w:color="auto" w:fill="auto"/>
            <w:vAlign w:val="center"/>
          </w:tcPr>
          <w:p w14:paraId="4C25CA54">
            <w:pPr>
              <w:keepNext w:val="0"/>
              <w:keepLines w:val="0"/>
              <w:widowControl/>
              <w:suppressLineNumbers w:val="0"/>
              <w:adjustRightInd w:val="0"/>
              <w:snapToGrid w:val="0"/>
              <w:spacing w:before="0" w:beforeAutospacing="0" w:after="0" w:afterAutospacing="0" w:line="480" w:lineRule="auto"/>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分值</w:t>
            </w:r>
          </w:p>
        </w:tc>
        <w:tc>
          <w:tcPr>
            <w:tcW w:w="1843" w:type="dxa"/>
            <w:tcBorders>
              <w:top w:val="single" w:color="auto" w:sz="4" w:space="0"/>
              <w:left w:val="nil"/>
              <w:bottom w:val="single" w:color="auto" w:sz="4" w:space="0"/>
              <w:right w:val="single" w:color="auto" w:sz="4" w:space="0"/>
            </w:tcBorders>
            <w:vAlign w:val="center"/>
          </w:tcPr>
          <w:p w14:paraId="60CFCB76">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备注</w:t>
            </w:r>
          </w:p>
        </w:tc>
      </w:tr>
      <w:tr w14:paraId="153BC8C7">
        <w:tblPrEx>
          <w:tblCellMar>
            <w:top w:w="0" w:type="dxa"/>
            <w:left w:w="108" w:type="dxa"/>
            <w:bottom w:w="0" w:type="dxa"/>
            <w:right w:w="108" w:type="dxa"/>
          </w:tblCellMar>
        </w:tblPrEx>
        <w:trPr>
          <w:trHeight w:val="270" w:hRule="atLeast"/>
          <w:jc w:val="center"/>
        </w:trPr>
        <w:tc>
          <w:tcPr>
            <w:tcW w:w="42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6A99760">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lang w:val="en-US" w:eastAsia="zh-CN"/>
              </w:rPr>
              <w:t>1</w:t>
            </w:r>
            <w:r>
              <w:rPr>
                <w:rFonts w:hint="default" w:ascii="仿宋" w:hAnsi="仿宋" w:eastAsia="仿宋" w:cs="宋体"/>
                <w:color w:val="000000"/>
                <w:kern w:val="0"/>
                <w:sz w:val="16"/>
                <w:szCs w:val="16"/>
              </w:rPr>
              <w:t>1</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20F699">
            <w:pPr>
              <w:keepNext w:val="0"/>
              <w:keepLines w:val="0"/>
              <w:widowControl/>
              <w:suppressLineNumbers w:val="0"/>
              <w:adjustRightInd w:val="0"/>
              <w:snapToGrid w:val="0"/>
              <w:spacing w:before="0" w:beforeAutospacing="0" w:after="0" w:afterAutospacing="0" w:line="480" w:lineRule="auto"/>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学术论文</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2A11251">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15</w:t>
            </w:r>
          </w:p>
        </w:tc>
        <w:tc>
          <w:tcPr>
            <w:tcW w:w="3260" w:type="dxa"/>
            <w:tcBorders>
              <w:top w:val="single" w:color="auto" w:sz="4" w:space="0"/>
              <w:left w:val="nil"/>
              <w:bottom w:val="single" w:color="auto" w:sz="4" w:space="0"/>
              <w:right w:val="single" w:color="auto" w:sz="4" w:space="0"/>
            </w:tcBorders>
            <w:shd w:val="clear" w:color="auto" w:fill="auto"/>
            <w:noWrap/>
            <w:vAlign w:val="center"/>
          </w:tcPr>
          <w:p w14:paraId="484872E2">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SCI论文第一作者</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E6C308E">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100</w:t>
            </w:r>
          </w:p>
        </w:tc>
        <w:tc>
          <w:tcPr>
            <w:tcW w:w="1843" w:type="dxa"/>
            <w:vMerge w:val="restart"/>
            <w:tcBorders>
              <w:top w:val="single" w:color="auto" w:sz="4" w:space="0"/>
              <w:left w:val="nil"/>
              <w:bottom w:val="single" w:color="auto" w:sz="4" w:space="0"/>
              <w:right w:val="single" w:color="auto" w:sz="4" w:space="0"/>
            </w:tcBorders>
            <w:vAlign w:val="center"/>
          </w:tcPr>
          <w:p w14:paraId="378F7301">
            <w:pPr>
              <w:keepNext w:val="0"/>
              <w:keepLines w:val="0"/>
              <w:widowControl/>
              <w:suppressLineNumbers w:val="0"/>
              <w:adjustRightInd w:val="0"/>
              <w:snapToGrid w:val="0"/>
              <w:spacing w:before="0" w:beforeAutospacing="0" w:after="0" w:afterAutospacing="0" w:line="480" w:lineRule="auto"/>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均</w:t>
            </w:r>
            <w:r>
              <w:rPr>
                <w:rFonts w:hint="default" w:ascii="仿宋" w:hAnsi="仿宋" w:eastAsia="仿宋" w:cs="宋体"/>
                <w:color w:val="000000"/>
                <w:kern w:val="0"/>
                <w:sz w:val="16"/>
                <w:szCs w:val="16"/>
              </w:rPr>
              <w:t>为</w:t>
            </w:r>
            <w:r>
              <w:rPr>
                <w:rFonts w:hint="eastAsia" w:ascii="仿宋" w:hAnsi="仿宋" w:eastAsia="仿宋" w:cs="宋体"/>
                <w:color w:val="000000"/>
                <w:kern w:val="0"/>
                <w:sz w:val="16"/>
                <w:szCs w:val="16"/>
              </w:rPr>
              <w:t>公开</w:t>
            </w:r>
            <w:r>
              <w:rPr>
                <w:rFonts w:hint="default" w:ascii="仿宋" w:hAnsi="仿宋" w:eastAsia="仿宋" w:cs="宋体"/>
                <w:color w:val="000000"/>
                <w:kern w:val="0"/>
                <w:sz w:val="16"/>
                <w:szCs w:val="16"/>
              </w:rPr>
              <w:t>发表</w:t>
            </w:r>
            <w:r>
              <w:rPr>
                <w:rFonts w:hint="eastAsia" w:ascii="仿宋" w:hAnsi="仿宋" w:eastAsia="仿宋" w:cs="宋体"/>
                <w:color w:val="000000"/>
                <w:kern w:val="0"/>
                <w:sz w:val="16"/>
                <w:szCs w:val="16"/>
              </w:rPr>
              <w:t>（含在线发表）</w:t>
            </w:r>
          </w:p>
        </w:tc>
      </w:tr>
      <w:tr w14:paraId="209CA001">
        <w:tblPrEx>
          <w:tblCellMar>
            <w:top w:w="0" w:type="dxa"/>
            <w:left w:w="108" w:type="dxa"/>
            <w:bottom w:w="0" w:type="dxa"/>
            <w:right w:w="108" w:type="dxa"/>
          </w:tblCellMar>
        </w:tblPrEx>
        <w:trPr>
          <w:trHeight w:val="270"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19244D9">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368086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591753DF">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6EF986E6">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SCI论文第二作者</w:t>
            </w:r>
          </w:p>
        </w:tc>
        <w:tc>
          <w:tcPr>
            <w:tcW w:w="851" w:type="dxa"/>
            <w:tcBorders>
              <w:top w:val="nil"/>
              <w:left w:val="nil"/>
              <w:bottom w:val="single" w:color="auto" w:sz="4" w:space="0"/>
              <w:right w:val="single" w:color="auto" w:sz="4" w:space="0"/>
            </w:tcBorders>
            <w:shd w:val="clear" w:color="auto" w:fill="auto"/>
            <w:noWrap/>
            <w:vAlign w:val="center"/>
          </w:tcPr>
          <w:p w14:paraId="75B90D2D">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70</w:t>
            </w:r>
          </w:p>
        </w:tc>
        <w:tc>
          <w:tcPr>
            <w:tcW w:w="1843" w:type="dxa"/>
            <w:vMerge w:val="continue"/>
            <w:tcBorders>
              <w:top w:val="single" w:color="auto" w:sz="4" w:space="0"/>
              <w:left w:val="nil"/>
              <w:bottom w:val="single" w:color="auto" w:sz="4" w:space="0"/>
              <w:right w:val="single" w:color="auto" w:sz="4" w:space="0"/>
            </w:tcBorders>
          </w:tcPr>
          <w:p w14:paraId="573B7FA4">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2C9B4AEE">
        <w:tblPrEx>
          <w:tblCellMar>
            <w:top w:w="0" w:type="dxa"/>
            <w:left w:w="108" w:type="dxa"/>
            <w:bottom w:w="0" w:type="dxa"/>
            <w:right w:w="108" w:type="dxa"/>
          </w:tblCellMar>
        </w:tblPrEx>
        <w:trPr>
          <w:trHeight w:val="270"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3B30FA5">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776BF924">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0441CFDF">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6BD03FCD">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SCI论文其他位次</w:t>
            </w:r>
          </w:p>
        </w:tc>
        <w:tc>
          <w:tcPr>
            <w:tcW w:w="851" w:type="dxa"/>
            <w:tcBorders>
              <w:top w:val="nil"/>
              <w:left w:val="nil"/>
              <w:bottom w:val="single" w:color="auto" w:sz="4" w:space="0"/>
              <w:right w:val="single" w:color="auto" w:sz="4" w:space="0"/>
            </w:tcBorders>
            <w:shd w:val="clear" w:color="auto" w:fill="auto"/>
            <w:noWrap/>
            <w:vAlign w:val="center"/>
          </w:tcPr>
          <w:p w14:paraId="2F2C989B">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30</w:t>
            </w:r>
          </w:p>
        </w:tc>
        <w:tc>
          <w:tcPr>
            <w:tcW w:w="1843" w:type="dxa"/>
            <w:vMerge w:val="continue"/>
            <w:tcBorders>
              <w:top w:val="single" w:color="auto" w:sz="4" w:space="0"/>
              <w:left w:val="nil"/>
              <w:bottom w:val="single" w:color="auto" w:sz="4" w:space="0"/>
              <w:right w:val="single" w:color="auto" w:sz="4" w:space="0"/>
            </w:tcBorders>
          </w:tcPr>
          <w:p w14:paraId="5CE732F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7996F02E">
        <w:tblPrEx>
          <w:tblCellMar>
            <w:top w:w="0" w:type="dxa"/>
            <w:left w:w="108" w:type="dxa"/>
            <w:bottom w:w="0" w:type="dxa"/>
            <w:right w:w="108" w:type="dxa"/>
          </w:tblCellMar>
        </w:tblPrEx>
        <w:trPr>
          <w:trHeight w:val="270"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5C966972">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1582437">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7D7217BC">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1D058B9F">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国内核心期刊第一作者</w:t>
            </w:r>
          </w:p>
        </w:tc>
        <w:tc>
          <w:tcPr>
            <w:tcW w:w="851" w:type="dxa"/>
            <w:tcBorders>
              <w:top w:val="nil"/>
              <w:left w:val="nil"/>
              <w:bottom w:val="single" w:color="auto" w:sz="4" w:space="0"/>
              <w:right w:val="single" w:color="auto" w:sz="4" w:space="0"/>
            </w:tcBorders>
            <w:shd w:val="clear" w:color="auto" w:fill="auto"/>
            <w:noWrap/>
            <w:vAlign w:val="center"/>
          </w:tcPr>
          <w:p w14:paraId="78CA2435">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80</w:t>
            </w:r>
          </w:p>
        </w:tc>
        <w:tc>
          <w:tcPr>
            <w:tcW w:w="1843" w:type="dxa"/>
            <w:vMerge w:val="continue"/>
            <w:tcBorders>
              <w:top w:val="single" w:color="auto" w:sz="4" w:space="0"/>
              <w:left w:val="nil"/>
              <w:bottom w:val="single" w:color="auto" w:sz="4" w:space="0"/>
              <w:right w:val="single" w:color="auto" w:sz="4" w:space="0"/>
            </w:tcBorders>
          </w:tcPr>
          <w:p w14:paraId="7DDBF019">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04E07389">
        <w:tblPrEx>
          <w:tblCellMar>
            <w:top w:w="0" w:type="dxa"/>
            <w:left w:w="108" w:type="dxa"/>
            <w:bottom w:w="0" w:type="dxa"/>
            <w:right w:w="108" w:type="dxa"/>
          </w:tblCellMar>
        </w:tblPrEx>
        <w:trPr>
          <w:trHeight w:val="270"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2E8913B7">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BC628D3">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5C18FC3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4590DAD1">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国内核心期刊第二作者</w:t>
            </w:r>
          </w:p>
        </w:tc>
        <w:tc>
          <w:tcPr>
            <w:tcW w:w="851" w:type="dxa"/>
            <w:tcBorders>
              <w:top w:val="nil"/>
              <w:left w:val="nil"/>
              <w:bottom w:val="single" w:color="auto" w:sz="4" w:space="0"/>
              <w:right w:val="single" w:color="auto" w:sz="4" w:space="0"/>
            </w:tcBorders>
            <w:shd w:val="clear" w:color="auto" w:fill="auto"/>
            <w:noWrap/>
            <w:vAlign w:val="center"/>
          </w:tcPr>
          <w:p w14:paraId="61276209">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60</w:t>
            </w:r>
          </w:p>
        </w:tc>
        <w:tc>
          <w:tcPr>
            <w:tcW w:w="1843" w:type="dxa"/>
            <w:vMerge w:val="continue"/>
            <w:tcBorders>
              <w:top w:val="single" w:color="auto" w:sz="4" w:space="0"/>
              <w:left w:val="nil"/>
              <w:bottom w:val="single" w:color="auto" w:sz="4" w:space="0"/>
              <w:right w:val="single" w:color="auto" w:sz="4" w:space="0"/>
            </w:tcBorders>
          </w:tcPr>
          <w:p w14:paraId="3EE8D28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7862E46B">
        <w:trPr>
          <w:trHeight w:val="270"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1BD0BFD">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3C81ABBF">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55A69920">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734D3930">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国内核心期刊其他位次</w:t>
            </w:r>
          </w:p>
        </w:tc>
        <w:tc>
          <w:tcPr>
            <w:tcW w:w="851" w:type="dxa"/>
            <w:tcBorders>
              <w:top w:val="nil"/>
              <w:left w:val="nil"/>
              <w:bottom w:val="single" w:color="auto" w:sz="4" w:space="0"/>
              <w:right w:val="single" w:color="auto" w:sz="4" w:space="0"/>
            </w:tcBorders>
            <w:shd w:val="clear" w:color="auto" w:fill="auto"/>
            <w:noWrap/>
            <w:vAlign w:val="center"/>
          </w:tcPr>
          <w:p w14:paraId="7497DB19">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20</w:t>
            </w:r>
          </w:p>
        </w:tc>
        <w:tc>
          <w:tcPr>
            <w:tcW w:w="1843" w:type="dxa"/>
            <w:vMerge w:val="continue"/>
            <w:tcBorders>
              <w:top w:val="single" w:color="auto" w:sz="4" w:space="0"/>
              <w:left w:val="nil"/>
              <w:bottom w:val="single" w:color="auto" w:sz="4" w:space="0"/>
              <w:right w:val="single" w:color="auto" w:sz="4" w:space="0"/>
            </w:tcBorders>
          </w:tcPr>
          <w:p w14:paraId="00BD473F">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13FF23EE">
        <w:tblPrEx>
          <w:tblCellMar>
            <w:top w:w="0" w:type="dxa"/>
            <w:left w:w="108" w:type="dxa"/>
            <w:bottom w:w="0" w:type="dxa"/>
            <w:right w:w="108" w:type="dxa"/>
          </w:tblCellMar>
        </w:tblPrEx>
        <w:trPr>
          <w:trHeight w:val="270"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04E1E75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974CD65">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40F87EE6">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182903EA">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非核心期刊第一作者</w:t>
            </w:r>
          </w:p>
        </w:tc>
        <w:tc>
          <w:tcPr>
            <w:tcW w:w="851" w:type="dxa"/>
            <w:tcBorders>
              <w:top w:val="nil"/>
              <w:left w:val="nil"/>
              <w:bottom w:val="single" w:color="auto" w:sz="4" w:space="0"/>
              <w:right w:val="single" w:color="auto" w:sz="4" w:space="0"/>
            </w:tcBorders>
            <w:shd w:val="clear" w:color="auto" w:fill="auto"/>
            <w:noWrap/>
            <w:vAlign w:val="center"/>
          </w:tcPr>
          <w:p w14:paraId="7887F0FC">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40</w:t>
            </w:r>
          </w:p>
        </w:tc>
        <w:tc>
          <w:tcPr>
            <w:tcW w:w="1843" w:type="dxa"/>
            <w:vMerge w:val="continue"/>
            <w:tcBorders>
              <w:top w:val="single" w:color="auto" w:sz="4" w:space="0"/>
              <w:left w:val="nil"/>
              <w:bottom w:val="single" w:color="auto" w:sz="4" w:space="0"/>
              <w:right w:val="single" w:color="auto" w:sz="4" w:space="0"/>
            </w:tcBorders>
          </w:tcPr>
          <w:p w14:paraId="1234F09B">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58940996">
        <w:tblPrEx>
          <w:tblCellMar>
            <w:top w:w="0" w:type="dxa"/>
            <w:left w:w="108" w:type="dxa"/>
            <w:bottom w:w="0" w:type="dxa"/>
            <w:right w:w="108" w:type="dxa"/>
          </w:tblCellMar>
        </w:tblPrEx>
        <w:trPr>
          <w:trHeight w:val="270" w:hRule="atLeast"/>
          <w:jc w:val="center"/>
        </w:trPr>
        <w:tc>
          <w:tcPr>
            <w:tcW w:w="42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E122F16">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lang w:val="en-US" w:eastAsia="zh-CN"/>
              </w:rPr>
              <w:t>2</w:t>
            </w:r>
            <w:r>
              <w:rPr>
                <w:rFonts w:hint="default" w:ascii="仿宋" w:hAnsi="仿宋" w:eastAsia="仿宋" w:cs="宋体"/>
                <w:color w:val="000000"/>
                <w:kern w:val="0"/>
                <w:sz w:val="16"/>
                <w:szCs w:val="16"/>
              </w:rPr>
              <w:t>2</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A53FB9">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专利</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08A8928">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15</w:t>
            </w:r>
          </w:p>
        </w:tc>
        <w:tc>
          <w:tcPr>
            <w:tcW w:w="3260" w:type="dxa"/>
            <w:tcBorders>
              <w:top w:val="nil"/>
              <w:left w:val="nil"/>
              <w:bottom w:val="single" w:color="auto" w:sz="4" w:space="0"/>
              <w:right w:val="single" w:color="auto" w:sz="4" w:space="0"/>
            </w:tcBorders>
            <w:shd w:val="clear" w:color="auto" w:fill="auto"/>
            <w:noWrap/>
            <w:vAlign w:val="center"/>
          </w:tcPr>
          <w:p w14:paraId="2DBC7B0E">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授权发明专利第一位次</w:t>
            </w:r>
          </w:p>
        </w:tc>
        <w:tc>
          <w:tcPr>
            <w:tcW w:w="851" w:type="dxa"/>
            <w:tcBorders>
              <w:top w:val="nil"/>
              <w:left w:val="nil"/>
              <w:bottom w:val="single" w:color="auto" w:sz="4" w:space="0"/>
              <w:right w:val="single" w:color="auto" w:sz="4" w:space="0"/>
            </w:tcBorders>
            <w:shd w:val="clear" w:color="auto" w:fill="auto"/>
            <w:noWrap/>
            <w:vAlign w:val="center"/>
          </w:tcPr>
          <w:p w14:paraId="32C9926A">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100</w:t>
            </w:r>
          </w:p>
        </w:tc>
        <w:tc>
          <w:tcPr>
            <w:tcW w:w="1843" w:type="dxa"/>
            <w:vMerge w:val="restart"/>
            <w:tcBorders>
              <w:top w:val="nil"/>
              <w:left w:val="nil"/>
              <w:right w:val="single" w:color="auto" w:sz="4" w:space="0"/>
            </w:tcBorders>
            <w:vAlign w:val="center"/>
          </w:tcPr>
          <w:p w14:paraId="7A02CD89">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lang w:val="en-US" w:eastAsia="zh-CN"/>
              </w:rPr>
              <w:t>有</w:t>
            </w:r>
            <w:r>
              <w:rPr>
                <w:rFonts w:hint="default" w:ascii="仿宋" w:hAnsi="仿宋" w:eastAsia="仿宋" w:cs="宋体"/>
                <w:color w:val="000000"/>
                <w:kern w:val="0"/>
                <w:sz w:val="16"/>
                <w:szCs w:val="16"/>
              </w:rPr>
              <w:t>正式授权号</w:t>
            </w:r>
          </w:p>
        </w:tc>
      </w:tr>
      <w:tr w14:paraId="5987BF98">
        <w:tblPrEx>
          <w:tblCellMar>
            <w:top w:w="0" w:type="dxa"/>
            <w:left w:w="108" w:type="dxa"/>
            <w:bottom w:w="0" w:type="dxa"/>
            <w:right w:w="108" w:type="dxa"/>
          </w:tblCellMar>
        </w:tblPrEx>
        <w:trPr>
          <w:trHeight w:val="270" w:hRule="atLeast"/>
          <w:jc w:val="center"/>
        </w:trPr>
        <w:tc>
          <w:tcPr>
            <w:tcW w:w="421" w:type="dxa"/>
            <w:vMerge w:val="continue"/>
            <w:tcBorders>
              <w:left w:val="single" w:color="auto" w:sz="4" w:space="0"/>
              <w:bottom w:val="single" w:color="auto" w:sz="4" w:space="0"/>
              <w:right w:val="single" w:color="auto" w:sz="4" w:space="0"/>
            </w:tcBorders>
            <w:vAlign w:val="center"/>
          </w:tcPr>
          <w:p w14:paraId="4240B368">
            <w:pPr>
              <w:keepNext w:val="0"/>
              <w:keepLines w:val="0"/>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left w:val="single" w:color="auto" w:sz="4" w:space="0"/>
              <w:bottom w:val="single" w:color="auto" w:sz="4" w:space="0"/>
              <w:right w:val="single" w:color="auto" w:sz="4" w:space="0"/>
            </w:tcBorders>
            <w:vAlign w:val="center"/>
          </w:tcPr>
          <w:p w14:paraId="472F768C">
            <w:pPr>
              <w:keepNext w:val="0"/>
              <w:keepLines w:val="0"/>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left w:val="single" w:color="auto" w:sz="4" w:space="0"/>
              <w:bottom w:val="single" w:color="auto" w:sz="4" w:space="0"/>
              <w:right w:val="single" w:color="auto" w:sz="4" w:space="0"/>
            </w:tcBorders>
            <w:vAlign w:val="center"/>
          </w:tcPr>
          <w:p w14:paraId="02E3A39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7206A8D2">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授权发明专利第二位次</w:t>
            </w:r>
          </w:p>
        </w:tc>
        <w:tc>
          <w:tcPr>
            <w:tcW w:w="851" w:type="dxa"/>
            <w:tcBorders>
              <w:top w:val="nil"/>
              <w:left w:val="nil"/>
              <w:bottom w:val="single" w:color="auto" w:sz="4" w:space="0"/>
              <w:right w:val="single" w:color="auto" w:sz="4" w:space="0"/>
            </w:tcBorders>
            <w:shd w:val="clear" w:color="auto" w:fill="auto"/>
            <w:noWrap/>
            <w:vAlign w:val="center"/>
          </w:tcPr>
          <w:p w14:paraId="04877482">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70</w:t>
            </w:r>
          </w:p>
        </w:tc>
        <w:tc>
          <w:tcPr>
            <w:tcW w:w="1843" w:type="dxa"/>
            <w:vMerge w:val="continue"/>
            <w:tcBorders>
              <w:left w:val="nil"/>
              <w:right w:val="single" w:color="auto" w:sz="4" w:space="0"/>
            </w:tcBorders>
          </w:tcPr>
          <w:p w14:paraId="5B8D5F24">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14D696FB">
        <w:tblPrEx>
          <w:tblCellMar>
            <w:top w:w="0" w:type="dxa"/>
            <w:left w:w="108" w:type="dxa"/>
            <w:bottom w:w="0" w:type="dxa"/>
            <w:right w:w="108" w:type="dxa"/>
          </w:tblCellMar>
        </w:tblPrEx>
        <w:trPr>
          <w:trHeight w:val="270" w:hRule="atLeast"/>
          <w:jc w:val="center"/>
        </w:trPr>
        <w:tc>
          <w:tcPr>
            <w:tcW w:w="421" w:type="dxa"/>
            <w:vMerge w:val="continue"/>
            <w:tcBorders>
              <w:left w:val="single" w:color="auto" w:sz="4" w:space="0"/>
              <w:bottom w:val="single" w:color="auto" w:sz="4" w:space="0"/>
              <w:right w:val="single" w:color="auto" w:sz="4" w:space="0"/>
            </w:tcBorders>
            <w:vAlign w:val="center"/>
          </w:tcPr>
          <w:p w14:paraId="5A2F37B7">
            <w:pPr>
              <w:keepNext w:val="0"/>
              <w:keepLines w:val="0"/>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left w:val="single" w:color="auto" w:sz="4" w:space="0"/>
              <w:bottom w:val="single" w:color="auto" w:sz="4" w:space="0"/>
              <w:right w:val="single" w:color="auto" w:sz="4" w:space="0"/>
            </w:tcBorders>
            <w:vAlign w:val="center"/>
          </w:tcPr>
          <w:p w14:paraId="60794C7B">
            <w:pPr>
              <w:keepNext w:val="0"/>
              <w:keepLines w:val="0"/>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left w:val="single" w:color="auto" w:sz="4" w:space="0"/>
              <w:bottom w:val="single" w:color="auto" w:sz="4" w:space="0"/>
              <w:right w:val="single" w:color="auto" w:sz="4" w:space="0"/>
            </w:tcBorders>
            <w:vAlign w:val="center"/>
          </w:tcPr>
          <w:p w14:paraId="2878053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1F6C01F8">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授权发明专利其他位次</w:t>
            </w:r>
          </w:p>
        </w:tc>
        <w:tc>
          <w:tcPr>
            <w:tcW w:w="851" w:type="dxa"/>
            <w:tcBorders>
              <w:top w:val="nil"/>
              <w:left w:val="nil"/>
              <w:bottom w:val="single" w:color="auto" w:sz="4" w:space="0"/>
              <w:right w:val="single" w:color="auto" w:sz="4" w:space="0"/>
            </w:tcBorders>
            <w:shd w:val="clear" w:color="auto" w:fill="auto"/>
            <w:noWrap/>
            <w:vAlign w:val="center"/>
          </w:tcPr>
          <w:p w14:paraId="0D94406B">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30</w:t>
            </w:r>
          </w:p>
        </w:tc>
        <w:tc>
          <w:tcPr>
            <w:tcW w:w="1843" w:type="dxa"/>
            <w:vMerge w:val="continue"/>
            <w:tcBorders>
              <w:left w:val="nil"/>
              <w:right w:val="single" w:color="auto" w:sz="4" w:space="0"/>
            </w:tcBorders>
          </w:tcPr>
          <w:p w14:paraId="0B77FAA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1884AA12">
        <w:tblPrEx>
          <w:tblCellMar>
            <w:top w:w="0" w:type="dxa"/>
            <w:left w:w="108" w:type="dxa"/>
            <w:bottom w:w="0" w:type="dxa"/>
            <w:right w:w="108" w:type="dxa"/>
          </w:tblCellMar>
        </w:tblPrEx>
        <w:trPr>
          <w:trHeight w:val="270" w:hRule="atLeast"/>
          <w:jc w:val="center"/>
        </w:trPr>
        <w:tc>
          <w:tcPr>
            <w:tcW w:w="421" w:type="dxa"/>
            <w:vMerge w:val="continue"/>
            <w:tcBorders>
              <w:left w:val="single" w:color="auto" w:sz="4" w:space="0"/>
              <w:bottom w:val="single" w:color="auto" w:sz="4" w:space="0"/>
              <w:right w:val="single" w:color="auto" w:sz="4" w:space="0"/>
            </w:tcBorders>
            <w:shd w:val="clear" w:color="auto" w:fill="auto"/>
            <w:noWrap/>
            <w:vAlign w:val="center"/>
          </w:tcPr>
          <w:p w14:paraId="47CE0A0D">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left w:val="single" w:color="auto" w:sz="4" w:space="0"/>
              <w:bottom w:val="single" w:color="auto" w:sz="4" w:space="0"/>
              <w:right w:val="single" w:color="auto" w:sz="4" w:space="0"/>
            </w:tcBorders>
            <w:shd w:val="clear" w:color="auto" w:fill="auto"/>
            <w:vAlign w:val="center"/>
          </w:tcPr>
          <w:p w14:paraId="46647AC6">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left w:val="single" w:color="auto" w:sz="4" w:space="0"/>
              <w:bottom w:val="single" w:color="auto" w:sz="4" w:space="0"/>
              <w:right w:val="single" w:color="auto" w:sz="4" w:space="0"/>
            </w:tcBorders>
            <w:shd w:val="clear" w:color="auto" w:fill="auto"/>
            <w:noWrap/>
            <w:vAlign w:val="center"/>
          </w:tcPr>
          <w:p w14:paraId="17C6E6E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4495181D">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授权实用新型专利第一位次</w:t>
            </w:r>
          </w:p>
        </w:tc>
        <w:tc>
          <w:tcPr>
            <w:tcW w:w="851" w:type="dxa"/>
            <w:tcBorders>
              <w:top w:val="nil"/>
              <w:left w:val="nil"/>
              <w:bottom w:val="single" w:color="auto" w:sz="4" w:space="0"/>
              <w:right w:val="single" w:color="auto" w:sz="4" w:space="0"/>
            </w:tcBorders>
            <w:shd w:val="clear" w:color="auto" w:fill="auto"/>
            <w:noWrap/>
            <w:vAlign w:val="center"/>
          </w:tcPr>
          <w:p w14:paraId="26CAF577">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50</w:t>
            </w:r>
          </w:p>
        </w:tc>
        <w:tc>
          <w:tcPr>
            <w:tcW w:w="1843" w:type="dxa"/>
            <w:vMerge w:val="continue"/>
            <w:tcBorders>
              <w:left w:val="nil"/>
              <w:right w:val="single" w:color="auto" w:sz="4" w:space="0"/>
            </w:tcBorders>
          </w:tcPr>
          <w:p w14:paraId="5337A36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0F8DFBEA">
        <w:trPr>
          <w:trHeight w:val="270" w:hRule="atLeast"/>
          <w:jc w:val="center"/>
        </w:trPr>
        <w:tc>
          <w:tcPr>
            <w:tcW w:w="421" w:type="dxa"/>
            <w:vMerge w:val="continue"/>
            <w:tcBorders>
              <w:left w:val="single" w:color="auto" w:sz="4" w:space="0"/>
              <w:bottom w:val="single" w:color="auto" w:sz="4" w:space="0"/>
              <w:right w:val="single" w:color="auto" w:sz="4" w:space="0"/>
            </w:tcBorders>
            <w:vAlign w:val="center"/>
          </w:tcPr>
          <w:p w14:paraId="347D2D7C">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left w:val="single" w:color="auto" w:sz="4" w:space="0"/>
              <w:bottom w:val="single" w:color="auto" w:sz="4" w:space="0"/>
              <w:right w:val="single" w:color="auto" w:sz="4" w:space="0"/>
            </w:tcBorders>
            <w:vAlign w:val="center"/>
          </w:tcPr>
          <w:p w14:paraId="4146C9AF">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left w:val="single" w:color="auto" w:sz="4" w:space="0"/>
              <w:bottom w:val="single" w:color="auto" w:sz="4" w:space="0"/>
              <w:right w:val="single" w:color="auto" w:sz="4" w:space="0"/>
            </w:tcBorders>
            <w:vAlign w:val="center"/>
          </w:tcPr>
          <w:p w14:paraId="53B41E0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3FF1027B">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授权实用新型专利第二位次</w:t>
            </w:r>
          </w:p>
        </w:tc>
        <w:tc>
          <w:tcPr>
            <w:tcW w:w="851" w:type="dxa"/>
            <w:tcBorders>
              <w:top w:val="nil"/>
              <w:left w:val="nil"/>
              <w:bottom w:val="single" w:color="auto" w:sz="4" w:space="0"/>
              <w:right w:val="single" w:color="auto" w:sz="4" w:space="0"/>
            </w:tcBorders>
            <w:shd w:val="clear" w:color="auto" w:fill="auto"/>
            <w:noWrap/>
            <w:vAlign w:val="center"/>
          </w:tcPr>
          <w:p w14:paraId="1BF8FFE7">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30</w:t>
            </w:r>
          </w:p>
        </w:tc>
        <w:tc>
          <w:tcPr>
            <w:tcW w:w="1843" w:type="dxa"/>
            <w:vMerge w:val="continue"/>
            <w:tcBorders>
              <w:left w:val="nil"/>
              <w:right w:val="single" w:color="auto" w:sz="4" w:space="0"/>
            </w:tcBorders>
          </w:tcPr>
          <w:p w14:paraId="3A7E04E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670959BE">
        <w:trPr>
          <w:trHeight w:val="397" w:hRule="atLeast"/>
          <w:jc w:val="center"/>
        </w:trPr>
        <w:tc>
          <w:tcPr>
            <w:tcW w:w="421" w:type="dxa"/>
            <w:vMerge w:val="continue"/>
            <w:tcBorders>
              <w:left w:val="single" w:color="auto" w:sz="4" w:space="0"/>
              <w:bottom w:val="single" w:color="auto" w:sz="4" w:space="0"/>
              <w:right w:val="single" w:color="auto" w:sz="4" w:space="0"/>
            </w:tcBorders>
            <w:vAlign w:val="center"/>
          </w:tcPr>
          <w:p w14:paraId="5E523A7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left w:val="single" w:color="auto" w:sz="4" w:space="0"/>
              <w:bottom w:val="single" w:color="auto" w:sz="4" w:space="0"/>
              <w:right w:val="single" w:color="auto" w:sz="4" w:space="0"/>
            </w:tcBorders>
            <w:vAlign w:val="center"/>
          </w:tcPr>
          <w:p w14:paraId="139A044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left w:val="single" w:color="auto" w:sz="4" w:space="0"/>
              <w:bottom w:val="single" w:color="auto" w:sz="4" w:space="0"/>
              <w:right w:val="single" w:color="auto" w:sz="4" w:space="0"/>
            </w:tcBorders>
            <w:vAlign w:val="center"/>
          </w:tcPr>
          <w:p w14:paraId="16A30D35">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083E75EF">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授权实用新型专利其他位次</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F3F16D5">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10</w:t>
            </w:r>
          </w:p>
        </w:tc>
        <w:tc>
          <w:tcPr>
            <w:tcW w:w="1843" w:type="dxa"/>
            <w:vMerge w:val="continue"/>
            <w:tcBorders>
              <w:left w:val="nil"/>
              <w:bottom w:val="single" w:color="auto" w:sz="4" w:space="0"/>
              <w:right w:val="single" w:color="auto" w:sz="4" w:space="0"/>
            </w:tcBorders>
          </w:tcPr>
          <w:p w14:paraId="125BCE63">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7BF8DF31">
        <w:tblPrEx>
          <w:tblCellMar>
            <w:top w:w="0" w:type="dxa"/>
            <w:left w:w="108" w:type="dxa"/>
            <w:bottom w:w="0" w:type="dxa"/>
            <w:right w:w="108" w:type="dxa"/>
          </w:tblCellMar>
        </w:tblPrEx>
        <w:trPr>
          <w:trHeight w:val="270" w:hRule="atLeast"/>
          <w:jc w:val="center"/>
        </w:trPr>
        <w:tc>
          <w:tcPr>
            <w:tcW w:w="42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06011F">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lang w:val="en-US" w:eastAsia="zh-CN"/>
              </w:rPr>
              <w:t>3</w:t>
            </w:r>
            <w:r>
              <w:rPr>
                <w:rFonts w:hint="default" w:ascii="仿宋" w:hAnsi="仿宋" w:eastAsia="仿宋" w:cs="宋体"/>
                <w:color w:val="000000"/>
                <w:kern w:val="0"/>
                <w:sz w:val="16"/>
                <w:szCs w:val="16"/>
              </w:rPr>
              <w:t>3</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65D62E">
            <w:pPr>
              <w:keepNext w:val="0"/>
              <w:keepLines w:val="0"/>
              <w:widowControl/>
              <w:suppressLineNumbers w:val="0"/>
              <w:adjustRightInd w:val="0"/>
              <w:snapToGrid w:val="0"/>
              <w:spacing w:before="0" w:beforeAutospacing="0" w:after="0" w:afterAutospacing="0" w:line="480" w:lineRule="auto"/>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科研项目</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7D68D55">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18</w:t>
            </w:r>
          </w:p>
        </w:tc>
        <w:tc>
          <w:tcPr>
            <w:tcW w:w="3260" w:type="dxa"/>
            <w:tcBorders>
              <w:top w:val="single" w:color="auto" w:sz="4" w:space="0"/>
              <w:left w:val="nil"/>
              <w:bottom w:val="single" w:color="auto" w:sz="4" w:space="0"/>
              <w:right w:val="single" w:color="auto" w:sz="4" w:space="0"/>
            </w:tcBorders>
            <w:shd w:val="clear" w:color="auto" w:fill="auto"/>
            <w:noWrap/>
            <w:vAlign w:val="center"/>
          </w:tcPr>
          <w:p w14:paraId="7CF8E1EC">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主持国家</w:t>
            </w:r>
            <w:r>
              <w:rPr>
                <w:rFonts w:hint="eastAsia" w:ascii="仿宋" w:hAnsi="仿宋" w:eastAsia="仿宋" w:cs="宋体"/>
                <w:color w:val="000000"/>
                <w:kern w:val="0"/>
                <w:sz w:val="16"/>
                <w:szCs w:val="16"/>
                <w:lang w:val="en-US" w:eastAsia="zh-CN"/>
              </w:rPr>
              <w:t>大学生</w:t>
            </w:r>
            <w:r>
              <w:rPr>
                <w:rFonts w:hint="eastAsia" w:ascii="仿宋" w:hAnsi="仿宋" w:eastAsia="仿宋" w:cs="宋体"/>
                <w:color w:val="000000"/>
                <w:kern w:val="0"/>
                <w:sz w:val="16"/>
                <w:szCs w:val="16"/>
              </w:rPr>
              <w:t>创新创业训练计划</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300183D">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100</w:t>
            </w:r>
          </w:p>
        </w:tc>
        <w:tc>
          <w:tcPr>
            <w:tcW w:w="1843" w:type="dxa"/>
            <w:vMerge w:val="restart"/>
            <w:tcBorders>
              <w:top w:val="single" w:color="auto" w:sz="4" w:space="0"/>
              <w:left w:val="nil"/>
              <w:right w:val="single" w:color="auto" w:sz="4" w:space="0"/>
            </w:tcBorders>
            <w:vAlign w:val="center"/>
          </w:tcPr>
          <w:p w14:paraId="65AEBF97">
            <w:pPr>
              <w:keepNext w:val="0"/>
              <w:keepLines w:val="0"/>
              <w:widowControl/>
              <w:suppressLineNumbers w:val="0"/>
              <w:adjustRightInd w:val="0"/>
              <w:snapToGrid w:val="0"/>
              <w:spacing w:before="0" w:beforeAutospacing="0" w:after="0" w:afterAutospacing="0" w:line="480" w:lineRule="auto"/>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省级</w:t>
            </w:r>
            <w:r>
              <w:rPr>
                <w:rFonts w:hint="default" w:ascii="仿宋" w:hAnsi="仿宋" w:eastAsia="仿宋" w:cs="宋体"/>
                <w:color w:val="000000"/>
                <w:kern w:val="0"/>
                <w:sz w:val="16"/>
                <w:szCs w:val="16"/>
              </w:rPr>
              <w:t>以上</w:t>
            </w:r>
            <w:r>
              <w:rPr>
                <w:rFonts w:hint="eastAsia" w:ascii="仿宋" w:hAnsi="仿宋" w:eastAsia="仿宋" w:cs="宋体"/>
                <w:color w:val="000000"/>
                <w:kern w:val="0"/>
                <w:sz w:val="16"/>
                <w:szCs w:val="16"/>
              </w:rPr>
              <w:t>项目</w:t>
            </w:r>
            <w:r>
              <w:rPr>
                <w:rFonts w:hint="eastAsia" w:ascii="仿宋" w:hAnsi="仿宋" w:eastAsia="仿宋" w:cs="宋体"/>
                <w:color w:val="000000"/>
                <w:kern w:val="0"/>
                <w:sz w:val="16"/>
                <w:szCs w:val="16"/>
                <w:lang w:val="en-US" w:eastAsia="zh-CN"/>
              </w:rPr>
              <w:t>需</w:t>
            </w:r>
            <w:r>
              <w:rPr>
                <w:rFonts w:hint="eastAsia" w:ascii="仿宋" w:hAnsi="仿宋" w:eastAsia="仿宋" w:cs="宋体"/>
                <w:color w:val="000000"/>
                <w:kern w:val="0"/>
                <w:sz w:val="16"/>
                <w:szCs w:val="16"/>
              </w:rPr>
              <w:t>有</w:t>
            </w:r>
            <w:r>
              <w:rPr>
                <w:rFonts w:hint="default" w:ascii="仿宋" w:hAnsi="仿宋" w:eastAsia="仿宋" w:cs="宋体"/>
                <w:color w:val="000000"/>
                <w:kern w:val="0"/>
                <w:sz w:val="16"/>
                <w:szCs w:val="16"/>
              </w:rPr>
              <w:t>立项批文</w:t>
            </w:r>
            <w:r>
              <w:rPr>
                <w:rFonts w:hint="eastAsia" w:ascii="仿宋" w:hAnsi="仿宋" w:eastAsia="仿宋" w:cs="宋体"/>
                <w:color w:val="000000"/>
                <w:kern w:val="0"/>
                <w:sz w:val="16"/>
                <w:szCs w:val="16"/>
              </w:rPr>
              <w:t>，校级</w:t>
            </w:r>
            <w:r>
              <w:rPr>
                <w:rFonts w:hint="default" w:ascii="仿宋" w:hAnsi="仿宋" w:eastAsia="仿宋" w:cs="宋体"/>
                <w:color w:val="000000"/>
                <w:kern w:val="0"/>
                <w:sz w:val="16"/>
                <w:szCs w:val="16"/>
              </w:rPr>
              <w:t>需有结题证书</w:t>
            </w:r>
          </w:p>
        </w:tc>
      </w:tr>
      <w:tr w14:paraId="1E3CCBBB">
        <w:trPr>
          <w:trHeight w:val="270" w:hRule="atLeast"/>
          <w:jc w:val="center"/>
        </w:trPr>
        <w:tc>
          <w:tcPr>
            <w:tcW w:w="421" w:type="dxa"/>
            <w:vMerge w:val="continue"/>
            <w:tcBorders>
              <w:top w:val="nil"/>
              <w:left w:val="single" w:color="auto" w:sz="4" w:space="0"/>
              <w:bottom w:val="single" w:color="auto" w:sz="4" w:space="0"/>
              <w:right w:val="single" w:color="auto" w:sz="4" w:space="0"/>
            </w:tcBorders>
            <w:vAlign w:val="center"/>
          </w:tcPr>
          <w:p w14:paraId="159744C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vAlign w:val="center"/>
          </w:tcPr>
          <w:p w14:paraId="67354D9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02EEA3E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1811922F">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主持省级</w:t>
            </w:r>
            <w:r>
              <w:rPr>
                <w:rFonts w:hint="eastAsia" w:ascii="仿宋" w:hAnsi="仿宋" w:eastAsia="仿宋" w:cs="宋体"/>
                <w:color w:val="000000"/>
                <w:kern w:val="0"/>
                <w:sz w:val="16"/>
                <w:szCs w:val="16"/>
                <w:lang w:val="en-US" w:eastAsia="zh-CN"/>
              </w:rPr>
              <w:t>大</w:t>
            </w:r>
            <w:r>
              <w:rPr>
                <w:rFonts w:hint="eastAsia" w:ascii="仿宋" w:hAnsi="仿宋" w:eastAsia="仿宋" w:cs="宋体"/>
                <w:color w:val="000000"/>
                <w:kern w:val="0"/>
                <w:sz w:val="16"/>
                <w:szCs w:val="16"/>
              </w:rPr>
              <w:t>学生</w:t>
            </w:r>
            <w:r>
              <w:rPr>
                <w:rFonts w:hint="eastAsia" w:ascii="仿宋" w:hAnsi="仿宋" w:eastAsia="仿宋" w:cs="宋体"/>
                <w:color w:val="000000"/>
                <w:kern w:val="0"/>
                <w:sz w:val="16"/>
                <w:szCs w:val="16"/>
                <w:lang w:val="en-US" w:eastAsia="zh-CN"/>
              </w:rPr>
              <w:t>创新创业</w:t>
            </w:r>
            <w:r>
              <w:rPr>
                <w:rFonts w:hint="eastAsia" w:ascii="仿宋" w:hAnsi="仿宋" w:eastAsia="仿宋" w:cs="宋体"/>
                <w:color w:val="000000"/>
                <w:kern w:val="0"/>
                <w:sz w:val="16"/>
                <w:szCs w:val="16"/>
              </w:rPr>
              <w:t>训练计划</w:t>
            </w:r>
          </w:p>
        </w:tc>
        <w:tc>
          <w:tcPr>
            <w:tcW w:w="851" w:type="dxa"/>
            <w:tcBorders>
              <w:top w:val="nil"/>
              <w:left w:val="nil"/>
              <w:bottom w:val="single" w:color="auto" w:sz="4" w:space="0"/>
              <w:right w:val="single" w:color="auto" w:sz="4" w:space="0"/>
            </w:tcBorders>
            <w:shd w:val="clear" w:color="auto" w:fill="auto"/>
            <w:noWrap/>
            <w:vAlign w:val="center"/>
          </w:tcPr>
          <w:p w14:paraId="7521C554">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70</w:t>
            </w:r>
          </w:p>
        </w:tc>
        <w:tc>
          <w:tcPr>
            <w:tcW w:w="1843" w:type="dxa"/>
            <w:vMerge w:val="continue"/>
            <w:tcBorders>
              <w:left w:val="nil"/>
              <w:right w:val="single" w:color="auto" w:sz="4" w:space="0"/>
            </w:tcBorders>
          </w:tcPr>
          <w:p w14:paraId="2B9C1776">
            <w:pPr>
              <w:keepNext w:val="0"/>
              <w:keepLines w:val="0"/>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231B8EDD">
        <w:tblPrEx>
          <w:tblCellMar>
            <w:top w:w="0" w:type="dxa"/>
            <w:left w:w="108" w:type="dxa"/>
            <w:bottom w:w="0" w:type="dxa"/>
            <w:right w:w="108" w:type="dxa"/>
          </w:tblCellMar>
        </w:tblPrEx>
        <w:trPr>
          <w:trHeight w:val="590" w:hRule="atLeast"/>
          <w:jc w:val="center"/>
        </w:trPr>
        <w:tc>
          <w:tcPr>
            <w:tcW w:w="421" w:type="dxa"/>
            <w:vMerge w:val="continue"/>
            <w:tcBorders>
              <w:top w:val="nil"/>
              <w:left w:val="single" w:color="auto" w:sz="4" w:space="0"/>
              <w:bottom w:val="single" w:color="auto" w:sz="4" w:space="0"/>
              <w:right w:val="single" w:color="auto" w:sz="4" w:space="0"/>
            </w:tcBorders>
            <w:vAlign w:val="center"/>
          </w:tcPr>
          <w:p w14:paraId="1D6091D0">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vAlign w:val="center"/>
          </w:tcPr>
          <w:p w14:paraId="1CC699FA">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0A0DD54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4FBAD263">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主持校级</w:t>
            </w:r>
            <w:r>
              <w:rPr>
                <w:rFonts w:hint="eastAsia" w:ascii="仿宋" w:hAnsi="仿宋" w:eastAsia="仿宋" w:cs="宋体"/>
                <w:color w:val="000000"/>
                <w:kern w:val="0"/>
                <w:sz w:val="16"/>
                <w:szCs w:val="16"/>
                <w:lang w:val="en-US" w:eastAsia="zh-CN"/>
              </w:rPr>
              <w:t>大</w:t>
            </w:r>
            <w:r>
              <w:rPr>
                <w:rFonts w:hint="eastAsia" w:ascii="仿宋" w:hAnsi="仿宋" w:eastAsia="仿宋" w:cs="宋体"/>
                <w:color w:val="000000"/>
                <w:kern w:val="0"/>
                <w:sz w:val="16"/>
                <w:szCs w:val="16"/>
              </w:rPr>
              <w:t>学生</w:t>
            </w:r>
            <w:r>
              <w:rPr>
                <w:rFonts w:hint="eastAsia" w:ascii="仿宋" w:hAnsi="仿宋" w:eastAsia="仿宋" w:cs="宋体"/>
                <w:color w:val="000000"/>
                <w:kern w:val="0"/>
                <w:sz w:val="16"/>
                <w:szCs w:val="16"/>
                <w:lang w:val="en-US" w:eastAsia="zh-CN"/>
              </w:rPr>
              <w:t>创新创业</w:t>
            </w:r>
            <w:r>
              <w:rPr>
                <w:rFonts w:hint="eastAsia" w:ascii="仿宋" w:hAnsi="仿宋" w:eastAsia="仿宋" w:cs="宋体"/>
                <w:color w:val="000000"/>
                <w:kern w:val="0"/>
                <w:sz w:val="16"/>
                <w:szCs w:val="16"/>
              </w:rPr>
              <w:t>训练计划</w:t>
            </w:r>
          </w:p>
        </w:tc>
        <w:tc>
          <w:tcPr>
            <w:tcW w:w="851" w:type="dxa"/>
            <w:tcBorders>
              <w:top w:val="nil"/>
              <w:left w:val="nil"/>
              <w:bottom w:val="single" w:color="auto" w:sz="4" w:space="0"/>
              <w:right w:val="single" w:color="auto" w:sz="4" w:space="0"/>
            </w:tcBorders>
            <w:shd w:val="clear" w:color="auto" w:fill="auto"/>
            <w:noWrap/>
            <w:vAlign w:val="center"/>
          </w:tcPr>
          <w:p w14:paraId="4D260D82">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50</w:t>
            </w:r>
          </w:p>
        </w:tc>
        <w:tc>
          <w:tcPr>
            <w:tcW w:w="1843" w:type="dxa"/>
            <w:vMerge w:val="continue"/>
            <w:tcBorders>
              <w:left w:val="nil"/>
              <w:right w:val="single" w:color="auto" w:sz="4" w:space="0"/>
            </w:tcBorders>
          </w:tcPr>
          <w:p w14:paraId="47E1237F">
            <w:pPr>
              <w:keepNext w:val="0"/>
              <w:keepLines w:val="0"/>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3E693DE7">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vAlign w:val="center"/>
          </w:tcPr>
          <w:p w14:paraId="734471F3">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vAlign w:val="center"/>
          </w:tcPr>
          <w:p w14:paraId="23D463ED">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260A3D43">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71DCF5B9">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参加大学生</w:t>
            </w:r>
            <w:r>
              <w:rPr>
                <w:rFonts w:hint="eastAsia" w:ascii="仿宋" w:hAnsi="仿宋" w:eastAsia="仿宋" w:cs="宋体"/>
                <w:color w:val="000000"/>
                <w:kern w:val="0"/>
                <w:sz w:val="16"/>
                <w:szCs w:val="16"/>
                <w:lang w:val="en-US" w:eastAsia="zh-CN"/>
              </w:rPr>
              <w:t>创新创业</w:t>
            </w:r>
            <w:r>
              <w:rPr>
                <w:rFonts w:hint="eastAsia" w:ascii="仿宋" w:hAnsi="仿宋" w:eastAsia="仿宋" w:cs="宋体"/>
                <w:color w:val="000000"/>
                <w:kern w:val="0"/>
                <w:sz w:val="16"/>
                <w:szCs w:val="16"/>
              </w:rPr>
              <w:t>训练计划</w:t>
            </w:r>
          </w:p>
        </w:tc>
        <w:tc>
          <w:tcPr>
            <w:tcW w:w="851" w:type="dxa"/>
            <w:tcBorders>
              <w:top w:val="nil"/>
              <w:left w:val="nil"/>
              <w:bottom w:val="single" w:color="auto" w:sz="4" w:space="0"/>
              <w:right w:val="single" w:color="auto" w:sz="4" w:space="0"/>
            </w:tcBorders>
            <w:shd w:val="clear" w:color="auto" w:fill="auto"/>
            <w:noWrap/>
            <w:vAlign w:val="center"/>
          </w:tcPr>
          <w:p w14:paraId="44CBB7DD">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20</w:t>
            </w:r>
          </w:p>
        </w:tc>
        <w:tc>
          <w:tcPr>
            <w:tcW w:w="1843" w:type="dxa"/>
            <w:vMerge w:val="continue"/>
            <w:tcBorders>
              <w:left w:val="nil"/>
              <w:bottom w:val="single" w:color="auto" w:sz="4" w:space="0"/>
              <w:right w:val="single" w:color="auto" w:sz="4" w:space="0"/>
            </w:tcBorders>
          </w:tcPr>
          <w:p w14:paraId="5659644A">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2286652C">
        <w:tblPrEx>
          <w:tblCellMar>
            <w:top w:w="0" w:type="dxa"/>
            <w:left w:w="108" w:type="dxa"/>
            <w:bottom w:w="0" w:type="dxa"/>
            <w:right w:w="108" w:type="dxa"/>
          </w:tblCellMar>
        </w:tblPrEx>
        <w:trPr>
          <w:trHeight w:val="270" w:hRule="atLeast"/>
          <w:jc w:val="center"/>
        </w:trPr>
        <w:tc>
          <w:tcPr>
            <w:tcW w:w="421" w:type="dxa"/>
            <w:vMerge w:val="restart"/>
            <w:tcBorders>
              <w:top w:val="nil"/>
              <w:left w:val="single" w:color="auto" w:sz="4" w:space="0"/>
              <w:bottom w:val="single" w:color="auto" w:sz="4" w:space="0"/>
              <w:right w:val="single" w:color="auto" w:sz="4" w:space="0"/>
            </w:tcBorders>
            <w:shd w:val="clear" w:color="auto" w:fill="auto"/>
            <w:noWrap/>
            <w:vAlign w:val="center"/>
          </w:tcPr>
          <w:p w14:paraId="6678AAA5">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lang w:val="en-US" w:eastAsia="zh-CN"/>
              </w:rPr>
              <w:t>4</w:t>
            </w:r>
            <w:r>
              <w:rPr>
                <w:rFonts w:hint="default" w:ascii="仿宋" w:hAnsi="仿宋" w:eastAsia="仿宋" w:cs="宋体"/>
                <w:color w:val="000000"/>
                <w:kern w:val="0"/>
                <w:sz w:val="16"/>
                <w:szCs w:val="16"/>
              </w:rPr>
              <w:t>4</w:t>
            </w: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3E377314">
            <w:pPr>
              <w:keepNext w:val="0"/>
              <w:keepLines w:val="0"/>
              <w:widowControl/>
              <w:suppressLineNumbers w:val="0"/>
              <w:adjustRightInd w:val="0"/>
              <w:snapToGrid w:val="0"/>
              <w:spacing w:before="0" w:beforeAutospacing="0" w:after="0" w:afterAutospacing="0" w:line="480" w:lineRule="auto"/>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学术竞赛奖励</w:t>
            </w:r>
          </w:p>
        </w:tc>
        <w:tc>
          <w:tcPr>
            <w:tcW w:w="850" w:type="dxa"/>
            <w:vMerge w:val="restart"/>
            <w:tcBorders>
              <w:top w:val="nil"/>
              <w:left w:val="single" w:color="auto" w:sz="4" w:space="0"/>
              <w:bottom w:val="single" w:color="auto" w:sz="4" w:space="0"/>
              <w:right w:val="single" w:color="auto" w:sz="4" w:space="0"/>
            </w:tcBorders>
            <w:shd w:val="clear" w:color="auto" w:fill="auto"/>
            <w:noWrap/>
            <w:vAlign w:val="center"/>
          </w:tcPr>
          <w:p w14:paraId="704698C2">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25</w:t>
            </w:r>
          </w:p>
        </w:tc>
        <w:tc>
          <w:tcPr>
            <w:tcW w:w="3260" w:type="dxa"/>
            <w:tcBorders>
              <w:top w:val="nil"/>
              <w:left w:val="nil"/>
              <w:bottom w:val="single" w:color="auto" w:sz="4" w:space="0"/>
              <w:right w:val="single" w:color="auto" w:sz="4" w:space="0"/>
            </w:tcBorders>
            <w:shd w:val="clear" w:color="auto" w:fill="auto"/>
            <w:noWrap/>
            <w:vAlign w:val="center"/>
          </w:tcPr>
          <w:p w14:paraId="5F5F4A27">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国家级竞赛第一等级奖励第一位次</w:t>
            </w:r>
          </w:p>
        </w:tc>
        <w:tc>
          <w:tcPr>
            <w:tcW w:w="851" w:type="dxa"/>
            <w:tcBorders>
              <w:top w:val="nil"/>
              <w:left w:val="nil"/>
              <w:bottom w:val="single" w:color="auto" w:sz="4" w:space="0"/>
              <w:right w:val="single" w:color="auto" w:sz="4" w:space="0"/>
            </w:tcBorders>
            <w:shd w:val="clear" w:color="auto" w:fill="auto"/>
            <w:noWrap/>
            <w:vAlign w:val="center"/>
          </w:tcPr>
          <w:p w14:paraId="65ACA7C9">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100</w:t>
            </w:r>
          </w:p>
        </w:tc>
        <w:tc>
          <w:tcPr>
            <w:tcW w:w="1843" w:type="dxa"/>
            <w:vMerge w:val="restart"/>
            <w:tcBorders>
              <w:top w:val="nil"/>
              <w:left w:val="nil"/>
              <w:right w:val="single" w:color="auto" w:sz="4" w:space="0"/>
            </w:tcBorders>
            <w:vAlign w:val="center"/>
          </w:tcPr>
          <w:p w14:paraId="43B56F94">
            <w:pPr>
              <w:keepNext w:val="0"/>
              <w:keepLines w:val="0"/>
              <w:widowControl/>
              <w:suppressLineNumbers w:val="0"/>
              <w:adjustRightInd w:val="0"/>
              <w:snapToGrid w:val="0"/>
              <w:spacing w:before="0" w:beforeAutospacing="0" w:after="0" w:afterAutospacing="0" w:line="240" w:lineRule="exact"/>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有获奖</w:t>
            </w:r>
            <w:r>
              <w:rPr>
                <w:rFonts w:hint="default" w:ascii="仿宋" w:hAnsi="仿宋" w:eastAsia="仿宋" w:cs="宋体"/>
                <w:color w:val="000000"/>
                <w:kern w:val="0"/>
                <w:sz w:val="16"/>
                <w:szCs w:val="16"/>
              </w:rPr>
              <w:t>证书</w:t>
            </w:r>
            <w:r>
              <w:rPr>
                <w:rFonts w:hint="eastAsia" w:ascii="仿宋" w:hAnsi="仿宋" w:eastAsia="仿宋" w:cs="宋体"/>
                <w:color w:val="000000"/>
                <w:kern w:val="0"/>
                <w:sz w:val="16"/>
                <w:szCs w:val="16"/>
              </w:rPr>
              <w:t>或相关证明材料。其他未包含等级及位次由专家组评定</w:t>
            </w:r>
          </w:p>
        </w:tc>
      </w:tr>
      <w:tr w14:paraId="582334B4">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629F146E">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0BDFA917">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1E6684C4">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5E000986">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国家级竞赛第一等级奖励第二位次</w:t>
            </w:r>
          </w:p>
        </w:tc>
        <w:tc>
          <w:tcPr>
            <w:tcW w:w="851" w:type="dxa"/>
            <w:tcBorders>
              <w:top w:val="nil"/>
              <w:left w:val="nil"/>
              <w:bottom w:val="single" w:color="auto" w:sz="4" w:space="0"/>
              <w:right w:val="single" w:color="auto" w:sz="4" w:space="0"/>
            </w:tcBorders>
            <w:shd w:val="clear" w:color="auto" w:fill="auto"/>
            <w:noWrap/>
            <w:vAlign w:val="center"/>
          </w:tcPr>
          <w:p w14:paraId="427A4DF8">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8</w:t>
            </w:r>
            <w:r>
              <w:rPr>
                <w:rFonts w:hint="default" w:ascii="仿宋" w:hAnsi="仿宋" w:eastAsia="仿宋" w:cs="宋体"/>
                <w:color w:val="000000"/>
                <w:kern w:val="0"/>
                <w:sz w:val="16"/>
                <w:szCs w:val="16"/>
              </w:rPr>
              <w:t>0</w:t>
            </w:r>
          </w:p>
        </w:tc>
        <w:tc>
          <w:tcPr>
            <w:tcW w:w="1843" w:type="dxa"/>
            <w:vMerge w:val="continue"/>
            <w:tcBorders>
              <w:top w:val="nil"/>
              <w:left w:val="nil"/>
              <w:right w:val="single" w:color="auto" w:sz="4" w:space="0"/>
            </w:tcBorders>
            <w:vAlign w:val="center"/>
          </w:tcPr>
          <w:p w14:paraId="690DF956">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75DFC3D7">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5B8286F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3980C5DD">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1C338D19">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00B8BB72">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国家级竞赛第一等级奖励第三位次</w:t>
            </w:r>
          </w:p>
        </w:tc>
        <w:tc>
          <w:tcPr>
            <w:tcW w:w="851" w:type="dxa"/>
            <w:tcBorders>
              <w:top w:val="nil"/>
              <w:left w:val="nil"/>
              <w:bottom w:val="single" w:color="auto" w:sz="4" w:space="0"/>
              <w:right w:val="single" w:color="auto" w:sz="4" w:space="0"/>
            </w:tcBorders>
            <w:shd w:val="clear" w:color="auto" w:fill="auto"/>
            <w:noWrap/>
            <w:vAlign w:val="center"/>
          </w:tcPr>
          <w:p w14:paraId="49FBC334">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60</w:t>
            </w:r>
          </w:p>
        </w:tc>
        <w:tc>
          <w:tcPr>
            <w:tcW w:w="1843" w:type="dxa"/>
            <w:vMerge w:val="continue"/>
            <w:tcBorders>
              <w:top w:val="nil"/>
              <w:left w:val="nil"/>
              <w:right w:val="single" w:color="auto" w:sz="4" w:space="0"/>
            </w:tcBorders>
            <w:vAlign w:val="center"/>
          </w:tcPr>
          <w:p w14:paraId="5A7C83F9">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4DD7B429">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0317D37A">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4418A3B2">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004CBC3C">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1ADE08BD">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国家级竞赛第二等级奖励第一位次</w:t>
            </w:r>
          </w:p>
        </w:tc>
        <w:tc>
          <w:tcPr>
            <w:tcW w:w="851" w:type="dxa"/>
            <w:tcBorders>
              <w:top w:val="nil"/>
              <w:left w:val="nil"/>
              <w:bottom w:val="single" w:color="auto" w:sz="4" w:space="0"/>
              <w:right w:val="single" w:color="auto" w:sz="4" w:space="0"/>
            </w:tcBorders>
            <w:shd w:val="clear" w:color="auto" w:fill="auto"/>
            <w:noWrap/>
            <w:vAlign w:val="center"/>
          </w:tcPr>
          <w:p w14:paraId="53020451">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80</w:t>
            </w:r>
          </w:p>
        </w:tc>
        <w:tc>
          <w:tcPr>
            <w:tcW w:w="1843" w:type="dxa"/>
            <w:vMerge w:val="continue"/>
            <w:tcBorders>
              <w:top w:val="nil"/>
              <w:left w:val="nil"/>
              <w:right w:val="single" w:color="auto" w:sz="4" w:space="0"/>
            </w:tcBorders>
            <w:vAlign w:val="center"/>
          </w:tcPr>
          <w:p w14:paraId="0F6C6E7F">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7903A238">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3E9ECA14">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6CBB2406">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6261F450">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62E67DE6">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国家级竞赛第二等级奖励第二位次</w:t>
            </w:r>
          </w:p>
        </w:tc>
        <w:tc>
          <w:tcPr>
            <w:tcW w:w="851" w:type="dxa"/>
            <w:tcBorders>
              <w:top w:val="nil"/>
              <w:left w:val="nil"/>
              <w:bottom w:val="single" w:color="auto" w:sz="4" w:space="0"/>
              <w:right w:val="single" w:color="auto" w:sz="4" w:space="0"/>
            </w:tcBorders>
            <w:shd w:val="clear" w:color="auto" w:fill="auto"/>
            <w:noWrap/>
            <w:vAlign w:val="center"/>
          </w:tcPr>
          <w:p w14:paraId="3F78BC6B">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60</w:t>
            </w:r>
          </w:p>
        </w:tc>
        <w:tc>
          <w:tcPr>
            <w:tcW w:w="1843" w:type="dxa"/>
            <w:vMerge w:val="continue"/>
            <w:tcBorders>
              <w:top w:val="nil"/>
              <w:left w:val="nil"/>
              <w:right w:val="single" w:color="auto" w:sz="4" w:space="0"/>
            </w:tcBorders>
            <w:vAlign w:val="center"/>
          </w:tcPr>
          <w:p w14:paraId="15E122E0">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366923BC">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1B733D0D">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2EF9D532">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41749EDA">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31FEFA2C">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国家级竞赛第二等级奖励第三位次</w:t>
            </w:r>
          </w:p>
        </w:tc>
        <w:tc>
          <w:tcPr>
            <w:tcW w:w="851" w:type="dxa"/>
            <w:tcBorders>
              <w:top w:val="nil"/>
              <w:left w:val="nil"/>
              <w:bottom w:val="single" w:color="auto" w:sz="4" w:space="0"/>
              <w:right w:val="single" w:color="auto" w:sz="4" w:space="0"/>
            </w:tcBorders>
            <w:shd w:val="clear" w:color="auto" w:fill="auto"/>
            <w:noWrap/>
            <w:vAlign w:val="center"/>
          </w:tcPr>
          <w:p w14:paraId="1DD02FD2">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40</w:t>
            </w:r>
          </w:p>
        </w:tc>
        <w:tc>
          <w:tcPr>
            <w:tcW w:w="1843" w:type="dxa"/>
            <w:vMerge w:val="continue"/>
            <w:tcBorders>
              <w:top w:val="nil"/>
              <w:left w:val="nil"/>
              <w:right w:val="single" w:color="auto" w:sz="4" w:space="0"/>
            </w:tcBorders>
            <w:vAlign w:val="center"/>
          </w:tcPr>
          <w:p w14:paraId="56C749DA">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422777C5">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7A8CC094">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04C4F37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12BBEB54">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4E3FAE9C">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国家级竞赛第三等级奖励第一位次</w:t>
            </w:r>
          </w:p>
        </w:tc>
        <w:tc>
          <w:tcPr>
            <w:tcW w:w="851" w:type="dxa"/>
            <w:tcBorders>
              <w:top w:val="nil"/>
              <w:left w:val="nil"/>
              <w:bottom w:val="single" w:color="auto" w:sz="4" w:space="0"/>
              <w:right w:val="single" w:color="auto" w:sz="4" w:space="0"/>
            </w:tcBorders>
            <w:shd w:val="clear" w:color="auto" w:fill="auto"/>
            <w:noWrap/>
            <w:vAlign w:val="center"/>
          </w:tcPr>
          <w:p w14:paraId="7C1A803E">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60</w:t>
            </w:r>
          </w:p>
        </w:tc>
        <w:tc>
          <w:tcPr>
            <w:tcW w:w="1843" w:type="dxa"/>
            <w:vMerge w:val="continue"/>
            <w:tcBorders>
              <w:top w:val="nil"/>
              <w:left w:val="nil"/>
              <w:right w:val="single" w:color="auto" w:sz="4" w:space="0"/>
            </w:tcBorders>
            <w:vAlign w:val="center"/>
          </w:tcPr>
          <w:p w14:paraId="1FB6C81B">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4DA49FFF">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7F2A90BC">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1EFF8A23">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4C6334B6">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14E9F559">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国家级竞赛第三等级奖励第二位次</w:t>
            </w:r>
          </w:p>
        </w:tc>
        <w:tc>
          <w:tcPr>
            <w:tcW w:w="851" w:type="dxa"/>
            <w:tcBorders>
              <w:top w:val="nil"/>
              <w:left w:val="nil"/>
              <w:bottom w:val="single" w:color="auto" w:sz="4" w:space="0"/>
              <w:right w:val="single" w:color="auto" w:sz="4" w:space="0"/>
            </w:tcBorders>
            <w:shd w:val="clear" w:color="auto" w:fill="auto"/>
            <w:noWrap/>
            <w:vAlign w:val="center"/>
          </w:tcPr>
          <w:p w14:paraId="6E7618E4">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40</w:t>
            </w:r>
          </w:p>
        </w:tc>
        <w:tc>
          <w:tcPr>
            <w:tcW w:w="1843" w:type="dxa"/>
            <w:vMerge w:val="continue"/>
            <w:tcBorders>
              <w:top w:val="nil"/>
              <w:left w:val="nil"/>
              <w:right w:val="single" w:color="auto" w:sz="4" w:space="0"/>
            </w:tcBorders>
            <w:vAlign w:val="center"/>
          </w:tcPr>
          <w:p w14:paraId="43A5E08F">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11B11F71">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2C287C8B">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283EA342">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0609EEC0">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4618F213">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国家级竞赛第三等级奖励第三位次</w:t>
            </w:r>
          </w:p>
        </w:tc>
        <w:tc>
          <w:tcPr>
            <w:tcW w:w="851" w:type="dxa"/>
            <w:tcBorders>
              <w:top w:val="nil"/>
              <w:left w:val="nil"/>
              <w:bottom w:val="single" w:color="auto" w:sz="4" w:space="0"/>
              <w:right w:val="single" w:color="auto" w:sz="4" w:space="0"/>
            </w:tcBorders>
            <w:shd w:val="clear" w:color="auto" w:fill="auto"/>
            <w:noWrap/>
            <w:vAlign w:val="center"/>
          </w:tcPr>
          <w:p w14:paraId="460B90D4">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20</w:t>
            </w:r>
          </w:p>
        </w:tc>
        <w:tc>
          <w:tcPr>
            <w:tcW w:w="1843" w:type="dxa"/>
            <w:vMerge w:val="continue"/>
            <w:tcBorders>
              <w:top w:val="nil"/>
              <w:left w:val="nil"/>
              <w:right w:val="single" w:color="auto" w:sz="4" w:space="0"/>
            </w:tcBorders>
            <w:vAlign w:val="center"/>
          </w:tcPr>
          <w:p w14:paraId="44BFEB42">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74C81708">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445B5093">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7E2EE83F">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6890B8B6">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130B19D4">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省级竞赛第一等级奖励第一位次</w:t>
            </w:r>
          </w:p>
        </w:tc>
        <w:tc>
          <w:tcPr>
            <w:tcW w:w="851" w:type="dxa"/>
            <w:tcBorders>
              <w:top w:val="nil"/>
              <w:left w:val="nil"/>
              <w:bottom w:val="single" w:color="auto" w:sz="4" w:space="0"/>
              <w:right w:val="single" w:color="auto" w:sz="4" w:space="0"/>
            </w:tcBorders>
            <w:shd w:val="clear" w:color="auto" w:fill="auto"/>
            <w:noWrap/>
            <w:vAlign w:val="center"/>
          </w:tcPr>
          <w:p w14:paraId="2BEA8939">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80</w:t>
            </w:r>
          </w:p>
        </w:tc>
        <w:tc>
          <w:tcPr>
            <w:tcW w:w="1843" w:type="dxa"/>
            <w:vMerge w:val="continue"/>
            <w:tcBorders>
              <w:top w:val="nil"/>
              <w:left w:val="nil"/>
              <w:right w:val="single" w:color="auto" w:sz="4" w:space="0"/>
            </w:tcBorders>
            <w:vAlign w:val="center"/>
          </w:tcPr>
          <w:p w14:paraId="5F9F13D1">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7156EFE8">
        <w:tblPrEx>
          <w:tblCellMar>
            <w:top w:w="0" w:type="dxa"/>
            <w:left w:w="108" w:type="dxa"/>
            <w:bottom w:w="0" w:type="dxa"/>
            <w:right w:w="108" w:type="dxa"/>
          </w:tblCellMar>
        </w:tblPrEx>
        <w:trPr>
          <w:trHeight w:val="58"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34888703">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74B059E0">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2C74D3C6">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18ED0DE7">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省级竞赛第一等级奖励第二位次</w:t>
            </w:r>
          </w:p>
        </w:tc>
        <w:tc>
          <w:tcPr>
            <w:tcW w:w="851" w:type="dxa"/>
            <w:tcBorders>
              <w:top w:val="nil"/>
              <w:left w:val="nil"/>
              <w:bottom w:val="single" w:color="auto" w:sz="4" w:space="0"/>
              <w:right w:val="single" w:color="auto" w:sz="4" w:space="0"/>
            </w:tcBorders>
            <w:shd w:val="clear" w:color="auto" w:fill="auto"/>
            <w:noWrap/>
            <w:vAlign w:val="center"/>
          </w:tcPr>
          <w:p w14:paraId="593B0885">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60</w:t>
            </w:r>
          </w:p>
        </w:tc>
        <w:tc>
          <w:tcPr>
            <w:tcW w:w="1843" w:type="dxa"/>
            <w:vMerge w:val="continue"/>
            <w:tcBorders>
              <w:top w:val="nil"/>
              <w:left w:val="nil"/>
              <w:right w:val="single" w:color="auto" w:sz="4" w:space="0"/>
            </w:tcBorders>
            <w:vAlign w:val="center"/>
          </w:tcPr>
          <w:p w14:paraId="48C2B999">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3F6B14E8">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2F3E828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0C216602">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785317B7">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26C1C224">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省级竞赛第一等级奖励第三位次</w:t>
            </w:r>
          </w:p>
        </w:tc>
        <w:tc>
          <w:tcPr>
            <w:tcW w:w="851" w:type="dxa"/>
            <w:tcBorders>
              <w:top w:val="nil"/>
              <w:left w:val="nil"/>
              <w:bottom w:val="single" w:color="auto" w:sz="4" w:space="0"/>
              <w:right w:val="single" w:color="auto" w:sz="4" w:space="0"/>
            </w:tcBorders>
            <w:shd w:val="clear" w:color="auto" w:fill="auto"/>
            <w:noWrap/>
            <w:vAlign w:val="center"/>
          </w:tcPr>
          <w:p w14:paraId="72419FE3">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4</w:t>
            </w:r>
            <w:r>
              <w:rPr>
                <w:rFonts w:hint="default" w:ascii="仿宋" w:hAnsi="仿宋" w:eastAsia="仿宋" w:cs="宋体"/>
                <w:color w:val="000000"/>
                <w:kern w:val="0"/>
                <w:sz w:val="16"/>
                <w:szCs w:val="16"/>
              </w:rPr>
              <w:t>0</w:t>
            </w:r>
          </w:p>
        </w:tc>
        <w:tc>
          <w:tcPr>
            <w:tcW w:w="1843" w:type="dxa"/>
            <w:vMerge w:val="continue"/>
            <w:tcBorders>
              <w:top w:val="nil"/>
              <w:left w:val="nil"/>
              <w:right w:val="single" w:color="auto" w:sz="4" w:space="0"/>
            </w:tcBorders>
            <w:vAlign w:val="center"/>
          </w:tcPr>
          <w:p w14:paraId="5A9FCC3D">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2A9B2061">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0A0DCC7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4E69D64F">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4D4F6FD0">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7B81539A">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省级竞赛第二等级奖励第一位次</w:t>
            </w:r>
          </w:p>
        </w:tc>
        <w:tc>
          <w:tcPr>
            <w:tcW w:w="851" w:type="dxa"/>
            <w:tcBorders>
              <w:top w:val="nil"/>
              <w:left w:val="nil"/>
              <w:bottom w:val="single" w:color="auto" w:sz="4" w:space="0"/>
              <w:right w:val="single" w:color="auto" w:sz="4" w:space="0"/>
            </w:tcBorders>
            <w:shd w:val="clear" w:color="auto" w:fill="auto"/>
            <w:noWrap/>
            <w:vAlign w:val="center"/>
          </w:tcPr>
          <w:p w14:paraId="2B71415E">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60</w:t>
            </w:r>
          </w:p>
        </w:tc>
        <w:tc>
          <w:tcPr>
            <w:tcW w:w="1843" w:type="dxa"/>
            <w:vMerge w:val="continue"/>
            <w:tcBorders>
              <w:top w:val="nil"/>
              <w:left w:val="nil"/>
              <w:right w:val="single" w:color="auto" w:sz="4" w:space="0"/>
            </w:tcBorders>
            <w:vAlign w:val="center"/>
          </w:tcPr>
          <w:p w14:paraId="32E587E5">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4DA5DD49">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shd w:val="clear" w:color="auto" w:fill="auto"/>
            <w:noWrap/>
            <w:vAlign w:val="center"/>
          </w:tcPr>
          <w:p w14:paraId="1C35E7F5">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5B1056C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shd w:val="clear" w:color="auto" w:fill="auto"/>
            <w:noWrap/>
            <w:vAlign w:val="center"/>
          </w:tcPr>
          <w:p w14:paraId="1CDCFF29">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65358196">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省级竞赛第二等级奖励第二位次</w:t>
            </w:r>
          </w:p>
        </w:tc>
        <w:tc>
          <w:tcPr>
            <w:tcW w:w="851" w:type="dxa"/>
            <w:tcBorders>
              <w:top w:val="nil"/>
              <w:left w:val="nil"/>
              <w:bottom w:val="single" w:color="auto" w:sz="4" w:space="0"/>
              <w:right w:val="single" w:color="auto" w:sz="4" w:space="0"/>
            </w:tcBorders>
            <w:shd w:val="clear" w:color="auto" w:fill="auto"/>
            <w:noWrap/>
            <w:vAlign w:val="center"/>
          </w:tcPr>
          <w:p w14:paraId="50B95273">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4</w:t>
            </w:r>
            <w:r>
              <w:rPr>
                <w:rFonts w:hint="default" w:ascii="仿宋" w:hAnsi="仿宋" w:eastAsia="仿宋" w:cs="宋体"/>
                <w:color w:val="000000"/>
                <w:kern w:val="0"/>
                <w:sz w:val="16"/>
                <w:szCs w:val="16"/>
              </w:rPr>
              <w:t>0</w:t>
            </w:r>
          </w:p>
        </w:tc>
        <w:tc>
          <w:tcPr>
            <w:tcW w:w="1843" w:type="dxa"/>
            <w:vMerge w:val="continue"/>
            <w:tcBorders>
              <w:top w:val="nil"/>
              <w:left w:val="nil"/>
              <w:right w:val="single" w:color="auto" w:sz="4" w:space="0"/>
            </w:tcBorders>
            <w:vAlign w:val="center"/>
          </w:tcPr>
          <w:p w14:paraId="709CE263">
            <w:pPr>
              <w:keepNext w:val="0"/>
              <w:keepLines w:val="0"/>
              <w:widowControl/>
              <w:suppressLineNumbers w:val="0"/>
              <w:adjustRightInd w:val="0"/>
              <w:snapToGrid w:val="0"/>
              <w:spacing w:before="0" w:beforeAutospacing="0" w:after="0" w:afterAutospacing="0" w:line="240" w:lineRule="exact"/>
              <w:ind w:left="0" w:right="0" w:firstLine="320" w:firstLineChars="200"/>
              <w:jc w:val="center"/>
              <w:rPr>
                <w:rFonts w:hint="default" w:ascii="仿宋" w:hAnsi="仿宋" w:eastAsia="仿宋" w:cs="宋体"/>
                <w:color w:val="000000"/>
                <w:kern w:val="0"/>
                <w:sz w:val="16"/>
                <w:szCs w:val="16"/>
              </w:rPr>
            </w:pPr>
          </w:p>
        </w:tc>
      </w:tr>
      <w:tr w14:paraId="2059FF7C">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vAlign w:val="center"/>
          </w:tcPr>
          <w:p w14:paraId="18E40BC0">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vAlign w:val="center"/>
          </w:tcPr>
          <w:p w14:paraId="7FA37227">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3C5F453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2DEF4358">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省级竞赛第三等级奖励第一位次</w:t>
            </w:r>
          </w:p>
        </w:tc>
        <w:tc>
          <w:tcPr>
            <w:tcW w:w="851" w:type="dxa"/>
            <w:tcBorders>
              <w:top w:val="nil"/>
              <w:left w:val="nil"/>
              <w:bottom w:val="single" w:color="auto" w:sz="4" w:space="0"/>
              <w:right w:val="single" w:color="auto" w:sz="4" w:space="0"/>
            </w:tcBorders>
            <w:shd w:val="clear" w:color="auto" w:fill="auto"/>
            <w:noWrap/>
            <w:vAlign w:val="center"/>
          </w:tcPr>
          <w:p w14:paraId="4EF7642E">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40</w:t>
            </w:r>
          </w:p>
        </w:tc>
        <w:tc>
          <w:tcPr>
            <w:tcW w:w="1843" w:type="dxa"/>
            <w:vMerge w:val="continue"/>
            <w:tcBorders>
              <w:left w:val="nil"/>
              <w:right w:val="single" w:color="auto" w:sz="4" w:space="0"/>
            </w:tcBorders>
          </w:tcPr>
          <w:p w14:paraId="03CB110E">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472B7325">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vAlign w:val="center"/>
          </w:tcPr>
          <w:p w14:paraId="37AAF0C5">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vAlign w:val="center"/>
          </w:tcPr>
          <w:p w14:paraId="33E37C4D">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39245B6F">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42D47369">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省级竞赛第三等级奖励第二位次</w:t>
            </w:r>
          </w:p>
        </w:tc>
        <w:tc>
          <w:tcPr>
            <w:tcW w:w="851" w:type="dxa"/>
            <w:tcBorders>
              <w:top w:val="nil"/>
              <w:left w:val="nil"/>
              <w:bottom w:val="single" w:color="auto" w:sz="4" w:space="0"/>
              <w:right w:val="single" w:color="auto" w:sz="4" w:space="0"/>
            </w:tcBorders>
            <w:shd w:val="clear" w:color="auto" w:fill="auto"/>
            <w:noWrap/>
            <w:vAlign w:val="center"/>
          </w:tcPr>
          <w:p w14:paraId="6B5C64EC">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2</w:t>
            </w:r>
            <w:r>
              <w:rPr>
                <w:rFonts w:hint="eastAsia" w:ascii="仿宋" w:hAnsi="仿宋" w:eastAsia="仿宋" w:cs="宋体"/>
                <w:color w:val="000000"/>
                <w:kern w:val="0"/>
                <w:sz w:val="16"/>
                <w:szCs w:val="16"/>
              </w:rPr>
              <w:t>0</w:t>
            </w:r>
          </w:p>
        </w:tc>
        <w:tc>
          <w:tcPr>
            <w:tcW w:w="1843" w:type="dxa"/>
            <w:vMerge w:val="continue"/>
            <w:tcBorders>
              <w:left w:val="nil"/>
              <w:right w:val="single" w:color="auto" w:sz="4" w:space="0"/>
            </w:tcBorders>
          </w:tcPr>
          <w:p w14:paraId="5298B382">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2244061E">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vAlign w:val="center"/>
          </w:tcPr>
          <w:p w14:paraId="68ED2203">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vAlign w:val="center"/>
          </w:tcPr>
          <w:p w14:paraId="6C3EC98B">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3FC6CE62">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48E86D3A">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校级竞赛第一等级奖励第一位次</w:t>
            </w:r>
          </w:p>
        </w:tc>
        <w:tc>
          <w:tcPr>
            <w:tcW w:w="851" w:type="dxa"/>
            <w:tcBorders>
              <w:top w:val="nil"/>
              <w:left w:val="nil"/>
              <w:bottom w:val="single" w:color="auto" w:sz="4" w:space="0"/>
              <w:right w:val="single" w:color="auto" w:sz="4" w:space="0"/>
            </w:tcBorders>
            <w:shd w:val="clear" w:color="auto" w:fill="auto"/>
            <w:noWrap/>
            <w:vAlign w:val="center"/>
          </w:tcPr>
          <w:p w14:paraId="17B32BEE">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4</w:t>
            </w:r>
            <w:r>
              <w:rPr>
                <w:rFonts w:hint="eastAsia" w:ascii="仿宋" w:hAnsi="仿宋" w:eastAsia="仿宋" w:cs="宋体"/>
                <w:color w:val="000000"/>
                <w:kern w:val="0"/>
                <w:sz w:val="16"/>
                <w:szCs w:val="16"/>
              </w:rPr>
              <w:t>0</w:t>
            </w:r>
          </w:p>
        </w:tc>
        <w:tc>
          <w:tcPr>
            <w:tcW w:w="1843" w:type="dxa"/>
            <w:vMerge w:val="continue"/>
            <w:tcBorders>
              <w:left w:val="nil"/>
              <w:right w:val="single" w:color="auto" w:sz="4" w:space="0"/>
            </w:tcBorders>
          </w:tcPr>
          <w:p w14:paraId="4FA9057A">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758AAC50">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vAlign w:val="center"/>
          </w:tcPr>
          <w:p w14:paraId="26AB7CD9">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vAlign w:val="center"/>
          </w:tcPr>
          <w:p w14:paraId="1BE1636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30AF46B4">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4F382A87">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校级竞赛第一等级奖励第二位次</w:t>
            </w:r>
          </w:p>
        </w:tc>
        <w:tc>
          <w:tcPr>
            <w:tcW w:w="851" w:type="dxa"/>
            <w:tcBorders>
              <w:top w:val="nil"/>
              <w:left w:val="nil"/>
              <w:bottom w:val="single" w:color="auto" w:sz="4" w:space="0"/>
              <w:right w:val="single" w:color="auto" w:sz="4" w:space="0"/>
            </w:tcBorders>
            <w:shd w:val="clear" w:color="auto" w:fill="auto"/>
            <w:noWrap/>
            <w:vAlign w:val="center"/>
          </w:tcPr>
          <w:p w14:paraId="38C44D4B">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20</w:t>
            </w:r>
          </w:p>
        </w:tc>
        <w:tc>
          <w:tcPr>
            <w:tcW w:w="1843" w:type="dxa"/>
            <w:vMerge w:val="continue"/>
            <w:tcBorders>
              <w:left w:val="nil"/>
              <w:right w:val="single" w:color="auto" w:sz="4" w:space="0"/>
            </w:tcBorders>
          </w:tcPr>
          <w:p w14:paraId="5DD5FE53">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42E2B42D">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vAlign w:val="center"/>
          </w:tcPr>
          <w:p w14:paraId="6401640F">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vAlign w:val="center"/>
          </w:tcPr>
          <w:p w14:paraId="24687BFA">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5768E835">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6EA1108B">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校级竞赛第二等级奖励第一位次</w:t>
            </w:r>
          </w:p>
        </w:tc>
        <w:tc>
          <w:tcPr>
            <w:tcW w:w="851" w:type="dxa"/>
            <w:tcBorders>
              <w:top w:val="nil"/>
              <w:left w:val="nil"/>
              <w:bottom w:val="single" w:color="auto" w:sz="4" w:space="0"/>
              <w:right w:val="single" w:color="auto" w:sz="4" w:space="0"/>
            </w:tcBorders>
            <w:shd w:val="clear" w:color="auto" w:fill="auto"/>
            <w:noWrap/>
            <w:vAlign w:val="center"/>
          </w:tcPr>
          <w:p w14:paraId="340495CA">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2</w:t>
            </w:r>
            <w:r>
              <w:rPr>
                <w:rFonts w:hint="eastAsia" w:ascii="仿宋" w:hAnsi="仿宋" w:eastAsia="仿宋" w:cs="宋体"/>
                <w:color w:val="000000"/>
                <w:kern w:val="0"/>
                <w:sz w:val="16"/>
                <w:szCs w:val="16"/>
              </w:rPr>
              <w:t>0</w:t>
            </w:r>
          </w:p>
        </w:tc>
        <w:tc>
          <w:tcPr>
            <w:tcW w:w="1843" w:type="dxa"/>
            <w:vMerge w:val="continue"/>
            <w:tcBorders>
              <w:left w:val="nil"/>
              <w:right w:val="single" w:color="auto" w:sz="4" w:space="0"/>
            </w:tcBorders>
          </w:tcPr>
          <w:p w14:paraId="2EF33270">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6B421578">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vAlign w:val="center"/>
          </w:tcPr>
          <w:p w14:paraId="0E26F2C0">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vAlign w:val="center"/>
          </w:tcPr>
          <w:p w14:paraId="073B5F68">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0BC7E057">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0DF62EFE">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校级竞赛第三等级奖励第一位次</w:t>
            </w:r>
          </w:p>
        </w:tc>
        <w:tc>
          <w:tcPr>
            <w:tcW w:w="851" w:type="dxa"/>
            <w:tcBorders>
              <w:top w:val="nil"/>
              <w:left w:val="nil"/>
              <w:bottom w:val="single" w:color="auto" w:sz="4" w:space="0"/>
              <w:right w:val="single" w:color="auto" w:sz="4" w:space="0"/>
            </w:tcBorders>
            <w:shd w:val="clear" w:color="auto" w:fill="auto"/>
            <w:noWrap/>
            <w:vAlign w:val="center"/>
          </w:tcPr>
          <w:p w14:paraId="38758165">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15</w:t>
            </w:r>
          </w:p>
        </w:tc>
        <w:tc>
          <w:tcPr>
            <w:tcW w:w="1843" w:type="dxa"/>
            <w:vMerge w:val="continue"/>
            <w:tcBorders>
              <w:left w:val="nil"/>
              <w:right w:val="single" w:color="auto" w:sz="4" w:space="0"/>
            </w:tcBorders>
          </w:tcPr>
          <w:p w14:paraId="0EF1BF3C">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0B5E6D21">
        <w:tblPrEx>
          <w:tblCellMar>
            <w:top w:w="0" w:type="dxa"/>
            <w:left w:w="108" w:type="dxa"/>
            <w:bottom w:w="0" w:type="dxa"/>
            <w:right w:w="108" w:type="dxa"/>
          </w:tblCellMar>
        </w:tblPrEx>
        <w:trPr>
          <w:trHeight w:val="270" w:hRule="atLeast"/>
          <w:jc w:val="center"/>
        </w:trPr>
        <w:tc>
          <w:tcPr>
            <w:tcW w:w="421" w:type="dxa"/>
            <w:vMerge w:val="continue"/>
            <w:tcBorders>
              <w:top w:val="nil"/>
              <w:left w:val="single" w:color="auto" w:sz="4" w:space="0"/>
              <w:bottom w:val="single" w:color="auto" w:sz="4" w:space="0"/>
              <w:right w:val="single" w:color="auto" w:sz="4" w:space="0"/>
            </w:tcBorders>
            <w:vAlign w:val="center"/>
          </w:tcPr>
          <w:p w14:paraId="26027186">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1134" w:type="dxa"/>
            <w:vMerge w:val="continue"/>
            <w:tcBorders>
              <w:top w:val="nil"/>
              <w:left w:val="single" w:color="auto" w:sz="4" w:space="0"/>
              <w:bottom w:val="single" w:color="auto" w:sz="4" w:space="0"/>
              <w:right w:val="single" w:color="auto" w:sz="4" w:space="0"/>
            </w:tcBorders>
            <w:vAlign w:val="center"/>
          </w:tcPr>
          <w:p w14:paraId="46C9EC4F">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850" w:type="dxa"/>
            <w:vMerge w:val="continue"/>
            <w:tcBorders>
              <w:top w:val="nil"/>
              <w:left w:val="single" w:color="auto" w:sz="4" w:space="0"/>
              <w:bottom w:val="single" w:color="auto" w:sz="4" w:space="0"/>
              <w:right w:val="single" w:color="auto" w:sz="4" w:space="0"/>
            </w:tcBorders>
            <w:vAlign w:val="center"/>
          </w:tcPr>
          <w:p w14:paraId="4B7B693E">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c>
          <w:tcPr>
            <w:tcW w:w="3260" w:type="dxa"/>
            <w:tcBorders>
              <w:top w:val="nil"/>
              <w:left w:val="nil"/>
              <w:bottom w:val="single" w:color="auto" w:sz="4" w:space="0"/>
              <w:right w:val="single" w:color="auto" w:sz="4" w:space="0"/>
            </w:tcBorders>
            <w:shd w:val="clear" w:color="auto" w:fill="auto"/>
            <w:noWrap/>
            <w:vAlign w:val="center"/>
          </w:tcPr>
          <w:p w14:paraId="5881417E">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校级及以上竞赛其他位次</w:t>
            </w:r>
          </w:p>
        </w:tc>
        <w:tc>
          <w:tcPr>
            <w:tcW w:w="851" w:type="dxa"/>
            <w:tcBorders>
              <w:top w:val="nil"/>
              <w:left w:val="nil"/>
              <w:bottom w:val="single" w:color="auto" w:sz="4" w:space="0"/>
              <w:right w:val="single" w:color="auto" w:sz="4" w:space="0"/>
            </w:tcBorders>
            <w:shd w:val="clear" w:color="auto" w:fill="auto"/>
            <w:noWrap/>
            <w:vAlign w:val="center"/>
          </w:tcPr>
          <w:p w14:paraId="71BA7409">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10</w:t>
            </w:r>
          </w:p>
        </w:tc>
        <w:tc>
          <w:tcPr>
            <w:tcW w:w="1843" w:type="dxa"/>
            <w:vMerge w:val="continue"/>
            <w:tcBorders>
              <w:left w:val="nil"/>
              <w:bottom w:val="single" w:color="auto" w:sz="4" w:space="0"/>
              <w:right w:val="single" w:color="auto" w:sz="4" w:space="0"/>
            </w:tcBorders>
          </w:tcPr>
          <w:p w14:paraId="19026160">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p>
        </w:tc>
      </w:tr>
      <w:tr w14:paraId="58762769">
        <w:tblPrEx>
          <w:tblCellMar>
            <w:top w:w="0" w:type="dxa"/>
            <w:left w:w="108" w:type="dxa"/>
            <w:bottom w:w="0" w:type="dxa"/>
            <w:right w:w="108" w:type="dxa"/>
          </w:tblCellMar>
        </w:tblPrEx>
        <w:trPr>
          <w:trHeight w:val="27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408D48E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lang w:val="en-US" w:eastAsia="zh-CN"/>
              </w:rPr>
              <w:t>5</w:t>
            </w:r>
            <w:r>
              <w:rPr>
                <w:rFonts w:hint="default" w:ascii="仿宋" w:hAnsi="仿宋" w:eastAsia="仿宋" w:cs="宋体"/>
                <w:color w:val="000000"/>
                <w:kern w:val="0"/>
                <w:sz w:val="16"/>
                <w:szCs w:val="16"/>
              </w:rPr>
              <w:t>5</w:t>
            </w:r>
          </w:p>
        </w:tc>
        <w:tc>
          <w:tcPr>
            <w:tcW w:w="1134" w:type="dxa"/>
            <w:tcBorders>
              <w:top w:val="nil"/>
              <w:left w:val="nil"/>
              <w:bottom w:val="single" w:color="auto" w:sz="4" w:space="0"/>
              <w:right w:val="single" w:color="auto" w:sz="4" w:space="0"/>
            </w:tcBorders>
            <w:shd w:val="clear" w:color="auto" w:fill="auto"/>
            <w:vAlign w:val="center"/>
          </w:tcPr>
          <w:p w14:paraId="0731BAEE">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其它</w:t>
            </w:r>
          </w:p>
        </w:tc>
        <w:tc>
          <w:tcPr>
            <w:tcW w:w="850" w:type="dxa"/>
            <w:tcBorders>
              <w:top w:val="nil"/>
              <w:left w:val="nil"/>
              <w:bottom w:val="single" w:color="auto" w:sz="4" w:space="0"/>
              <w:right w:val="single" w:color="auto" w:sz="4" w:space="0"/>
            </w:tcBorders>
            <w:shd w:val="clear" w:color="auto" w:fill="auto"/>
            <w:noWrap/>
            <w:vAlign w:val="center"/>
          </w:tcPr>
          <w:p w14:paraId="19DCF21D">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5</w:t>
            </w:r>
          </w:p>
        </w:tc>
        <w:tc>
          <w:tcPr>
            <w:tcW w:w="3260" w:type="dxa"/>
            <w:tcBorders>
              <w:top w:val="nil"/>
              <w:left w:val="nil"/>
              <w:bottom w:val="single" w:color="auto" w:sz="4" w:space="0"/>
              <w:right w:val="single" w:color="auto" w:sz="4" w:space="0"/>
            </w:tcBorders>
            <w:shd w:val="clear" w:color="auto" w:fill="auto"/>
            <w:noWrap/>
            <w:vAlign w:val="center"/>
          </w:tcPr>
          <w:p w14:paraId="4C40F81C">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参军入伍服兵役或科研相关志愿服务或赴国际组织实习学习等</w:t>
            </w:r>
          </w:p>
        </w:tc>
        <w:tc>
          <w:tcPr>
            <w:tcW w:w="851" w:type="dxa"/>
            <w:tcBorders>
              <w:top w:val="nil"/>
              <w:left w:val="nil"/>
              <w:bottom w:val="single" w:color="auto" w:sz="4" w:space="0"/>
              <w:right w:val="single" w:color="auto" w:sz="4" w:space="0"/>
            </w:tcBorders>
            <w:shd w:val="clear" w:color="auto" w:fill="auto"/>
            <w:noWrap/>
            <w:vAlign w:val="center"/>
          </w:tcPr>
          <w:p w14:paraId="737B1F23">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1</w:t>
            </w:r>
            <w:r>
              <w:rPr>
                <w:rFonts w:hint="default" w:ascii="仿宋" w:hAnsi="仿宋" w:eastAsia="仿宋" w:cs="宋体"/>
                <w:color w:val="000000"/>
                <w:kern w:val="0"/>
                <w:sz w:val="16"/>
                <w:szCs w:val="16"/>
              </w:rPr>
              <w:t>00</w:t>
            </w:r>
          </w:p>
        </w:tc>
        <w:tc>
          <w:tcPr>
            <w:tcW w:w="1843" w:type="dxa"/>
            <w:tcBorders>
              <w:top w:val="nil"/>
              <w:left w:val="nil"/>
              <w:bottom w:val="single" w:color="auto" w:sz="4" w:space="0"/>
              <w:right w:val="single" w:color="auto" w:sz="4" w:space="0"/>
            </w:tcBorders>
            <w:vAlign w:val="center"/>
          </w:tcPr>
          <w:p w14:paraId="5566812B">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相关</w:t>
            </w:r>
            <w:r>
              <w:rPr>
                <w:rFonts w:hint="default" w:ascii="仿宋" w:hAnsi="仿宋" w:eastAsia="仿宋" w:cs="宋体"/>
                <w:color w:val="000000"/>
                <w:kern w:val="0"/>
                <w:sz w:val="16"/>
                <w:szCs w:val="16"/>
              </w:rPr>
              <w:t>证明</w:t>
            </w:r>
          </w:p>
        </w:tc>
      </w:tr>
      <w:tr w14:paraId="7AD8A662">
        <w:tblPrEx>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355381">
            <w:pPr>
              <w:keepNext w:val="0"/>
              <w:keepLines w:val="0"/>
              <w:widowControl/>
              <w:suppressLineNumbers w:val="0"/>
              <w:adjustRightInd w:val="0"/>
              <w:snapToGrid w:val="0"/>
              <w:spacing w:before="0" w:beforeAutospacing="0" w:after="0" w:afterAutospacing="0" w:line="480" w:lineRule="auto"/>
              <w:ind w:left="0" w:right="0" w:firstLine="320" w:firstLineChars="20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lang w:val="en-US" w:eastAsia="zh-CN"/>
              </w:rPr>
              <w:t>6</w:t>
            </w:r>
            <w:r>
              <w:rPr>
                <w:rFonts w:hint="default" w:ascii="仿宋" w:hAnsi="仿宋" w:eastAsia="仿宋" w:cs="宋体"/>
                <w:color w:val="000000"/>
                <w:kern w:val="0"/>
                <w:sz w:val="16"/>
                <w:szCs w:val="16"/>
              </w:rPr>
              <w:t>6</w:t>
            </w:r>
          </w:p>
        </w:tc>
        <w:tc>
          <w:tcPr>
            <w:tcW w:w="1134" w:type="dxa"/>
            <w:tcBorders>
              <w:top w:val="single" w:color="auto" w:sz="4" w:space="0"/>
              <w:left w:val="nil"/>
              <w:bottom w:val="single" w:color="auto" w:sz="4" w:space="0"/>
              <w:right w:val="single" w:color="auto" w:sz="4" w:space="0"/>
            </w:tcBorders>
            <w:shd w:val="clear" w:color="auto" w:fill="auto"/>
            <w:vAlign w:val="center"/>
          </w:tcPr>
          <w:p w14:paraId="69D13914">
            <w:pPr>
              <w:keepNext w:val="0"/>
              <w:keepLines w:val="0"/>
              <w:widowControl/>
              <w:suppressLineNumbers w:val="0"/>
              <w:adjustRightInd w:val="0"/>
              <w:snapToGrid w:val="0"/>
              <w:spacing w:before="0" w:beforeAutospacing="0" w:after="0" w:afterAutospacing="0" w:line="480" w:lineRule="auto"/>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科研潜力与倾向</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1A879D78">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22</w:t>
            </w:r>
          </w:p>
        </w:tc>
        <w:tc>
          <w:tcPr>
            <w:tcW w:w="3260" w:type="dxa"/>
            <w:tcBorders>
              <w:top w:val="single" w:color="auto" w:sz="4" w:space="0"/>
              <w:left w:val="nil"/>
              <w:bottom w:val="single" w:color="auto" w:sz="4" w:space="0"/>
              <w:right w:val="single" w:color="auto" w:sz="4" w:space="0"/>
            </w:tcBorders>
            <w:shd w:val="clear" w:color="auto" w:fill="auto"/>
            <w:noWrap/>
            <w:vAlign w:val="center"/>
          </w:tcPr>
          <w:p w14:paraId="5FB0B8F8">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根据参与科研创新的经历</w:t>
            </w:r>
            <w:r>
              <w:rPr>
                <w:rFonts w:hint="eastAsia" w:ascii="仿宋" w:hAnsi="仿宋" w:eastAsia="仿宋" w:cs="宋体"/>
                <w:color w:val="000000"/>
                <w:kern w:val="0"/>
                <w:sz w:val="16"/>
                <w:szCs w:val="16"/>
                <w:lang w:eastAsia="zh-CN"/>
              </w:rPr>
              <w:t xml:space="preserve">, </w:t>
            </w:r>
            <w:r>
              <w:rPr>
                <w:rFonts w:hint="eastAsia" w:ascii="仿宋" w:hAnsi="仿宋" w:eastAsia="仿宋" w:cs="宋体"/>
                <w:color w:val="000000"/>
                <w:kern w:val="0"/>
                <w:sz w:val="16"/>
                <w:szCs w:val="16"/>
              </w:rPr>
              <w:t>综合表现</w:t>
            </w:r>
            <w:r>
              <w:rPr>
                <w:rFonts w:hint="eastAsia" w:ascii="仿宋" w:hAnsi="仿宋" w:eastAsia="仿宋" w:cs="宋体"/>
                <w:color w:val="000000"/>
                <w:kern w:val="0"/>
                <w:sz w:val="16"/>
                <w:szCs w:val="16"/>
                <w:lang w:eastAsia="zh-CN"/>
              </w:rPr>
              <w:t xml:space="preserve">, </w:t>
            </w:r>
            <w:r>
              <w:rPr>
                <w:rFonts w:hint="eastAsia" w:ascii="仿宋" w:hAnsi="仿宋" w:eastAsia="仿宋" w:cs="宋体"/>
                <w:color w:val="000000"/>
                <w:kern w:val="0"/>
                <w:sz w:val="16"/>
                <w:szCs w:val="16"/>
              </w:rPr>
              <w:t>取得的创新成果及指导老师</w:t>
            </w:r>
            <w:r>
              <w:rPr>
                <w:rFonts w:hint="eastAsia" w:ascii="仿宋" w:hAnsi="仿宋" w:eastAsia="仿宋" w:cs="宋体"/>
                <w:color w:val="000000"/>
                <w:kern w:val="0"/>
                <w:sz w:val="16"/>
                <w:szCs w:val="16"/>
                <w:lang w:eastAsia="zh-CN"/>
              </w:rPr>
              <w:t xml:space="preserve">, </w:t>
            </w:r>
            <w:r>
              <w:rPr>
                <w:rFonts w:hint="eastAsia" w:ascii="仿宋" w:hAnsi="仿宋" w:eastAsia="仿宋" w:cs="宋体"/>
                <w:color w:val="000000"/>
                <w:kern w:val="0"/>
                <w:sz w:val="16"/>
                <w:szCs w:val="16"/>
              </w:rPr>
              <w:t>专业教师的推荐等综合评价</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9B4DAA9">
            <w:pPr>
              <w:keepNext w:val="0"/>
              <w:keepLines w:val="0"/>
              <w:widowControl/>
              <w:suppressLineNumbers w:val="0"/>
              <w:adjustRightInd w:val="0"/>
              <w:snapToGrid w:val="0"/>
              <w:spacing w:before="0" w:beforeAutospacing="0" w:after="0" w:afterAutospacing="0" w:line="480" w:lineRule="auto"/>
              <w:ind w:left="0" w:right="0"/>
              <w:jc w:val="center"/>
              <w:rPr>
                <w:rFonts w:hint="default" w:ascii="仿宋" w:hAnsi="仿宋" w:eastAsia="仿宋" w:cs="宋体"/>
                <w:color w:val="000000"/>
                <w:kern w:val="0"/>
                <w:sz w:val="16"/>
                <w:szCs w:val="16"/>
              </w:rPr>
            </w:pPr>
            <w:r>
              <w:rPr>
                <w:rFonts w:hint="default" w:ascii="仿宋" w:hAnsi="仿宋" w:eastAsia="仿宋" w:cs="宋体"/>
                <w:color w:val="000000"/>
                <w:kern w:val="0"/>
                <w:sz w:val="16"/>
                <w:szCs w:val="16"/>
              </w:rPr>
              <w:t>100</w:t>
            </w:r>
          </w:p>
        </w:tc>
        <w:tc>
          <w:tcPr>
            <w:tcW w:w="1843" w:type="dxa"/>
            <w:tcBorders>
              <w:top w:val="single" w:color="auto" w:sz="4" w:space="0"/>
              <w:left w:val="nil"/>
              <w:bottom w:val="single" w:color="auto" w:sz="4" w:space="0"/>
              <w:right w:val="single" w:color="auto" w:sz="4" w:space="0"/>
            </w:tcBorders>
            <w:vAlign w:val="center"/>
          </w:tcPr>
          <w:p w14:paraId="4A3553B2">
            <w:pPr>
              <w:keepNext w:val="0"/>
              <w:keepLines w:val="0"/>
              <w:widowControl/>
              <w:suppressLineNumbers w:val="0"/>
              <w:adjustRightInd w:val="0"/>
              <w:snapToGrid w:val="0"/>
              <w:spacing w:before="0" w:beforeAutospacing="0" w:after="0" w:afterAutospacing="0" w:line="480" w:lineRule="auto"/>
              <w:ind w:left="0" w:leftChars="0" w:right="0" w:firstLine="0" w:firstLineChars="0"/>
              <w:jc w:val="center"/>
              <w:rPr>
                <w:rFonts w:hint="default" w:ascii="仿宋" w:hAnsi="仿宋" w:eastAsia="仿宋" w:cs="宋体"/>
                <w:color w:val="000000"/>
                <w:kern w:val="0"/>
                <w:sz w:val="16"/>
                <w:szCs w:val="16"/>
              </w:rPr>
            </w:pPr>
            <w:r>
              <w:rPr>
                <w:rFonts w:hint="eastAsia" w:ascii="仿宋" w:hAnsi="仿宋" w:eastAsia="仿宋" w:cs="宋体"/>
                <w:color w:val="000000"/>
                <w:kern w:val="0"/>
                <w:sz w:val="16"/>
                <w:szCs w:val="16"/>
              </w:rPr>
              <w:t>与所学专业相关</w:t>
            </w:r>
          </w:p>
        </w:tc>
      </w:tr>
    </w:tbl>
    <w:p w14:paraId="587328F1">
      <w:pPr>
        <w:widowControl/>
        <w:adjustRightInd w:val="0"/>
        <w:snapToGrid w:val="0"/>
        <w:spacing w:line="440" w:lineRule="exact"/>
        <w:ind w:firstLine="560" w:firstLineChars="200"/>
        <w:jc w:val="left"/>
        <w:rPr>
          <w:rFonts w:hint="eastAsia"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rPr>
        <w:t>注：1. 学生在每项评价内容中存在多项加分情况时，只取最高一项；2. 能够体现科研创新能力、以上未列入的评价内容，由专家综合评价小组审核认定</w:t>
      </w:r>
      <w:r>
        <w:rPr>
          <w:rFonts w:hint="eastAsia" w:ascii="Times New Roman" w:hAnsi="Times New Roman" w:eastAsia="仿宋_GB2312" w:cs="Times New Roman"/>
          <w:color w:val="000000"/>
          <w:kern w:val="0"/>
          <w:sz w:val="28"/>
          <w:szCs w:val="28"/>
          <w:lang w:eastAsia="zh-CN"/>
        </w:rPr>
        <w:t>。</w:t>
      </w:r>
    </w:p>
    <w:p w14:paraId="77DDD2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参考学生素质评价中德育、美育、体育和劳育等及参与乡村振兴驿站及其他社会实践等，结合学生的科学精神、道德伦理和社会主义核心价值观等方面进行综合考核，由学科考核小组给出学生的综合素质得分。</w:t>
      </w:r>
    </w:p>
    <w:p w14:paraId="34ADF2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四</w:t>
      </w:r>
      <w:r>
        <w:rPr>
          <w:rFonts w:hint="eastAsia" w:ascii="黑体" w:hAnsi="黑体" w:eastAsia="黑体" w:cs="黑体"/>
          <w:sz w:val="32"/>
          <w:szCs w:val="32"/>
          <w:lang w:eastAsia="zh-CN"/>
        </w:rPr>
        <w:t>、</w:t>
      </w:r>
      <w:r>
        <w:rPr>
          <w:rFonts w:hint="eastAsia" w:ascii="黑体" w:hAnsi="黑体" w:eastAsia="黑体" w:cs="黑体"/>
          <w:sz w:val="32"/>
          <w:szCs w:val="32"/>
        </w:rPr>
        <w:t>推荐工作程序</w:t>
      </w:r>
    </w:p>
    <w:p w14:paraId="4A244D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推荐名额分配：根据学校分配名额，结合我院实际情况，重点考虑学科建设情况、国家级和省级一流专业、应届本科毕业生人数等因素，进行分配。</w:t>
      </w:r>
    </w:p>
    <w:p w14:paraId="4CD9B5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确定推荐比例并公布排名：学院推荐免试工作小组制定本学院推免工作办法，确定本学院对必修环节学习成绩的要求和推荐比例，报学校推免生遴选推荐委员会，批准后在学院内公布。学院推荐免试工作小组公示各专业学生学习成绩排名情况，公示时间不少于1日。</w:t>
      </w:r>
    </w:p>
    <w:p w14:paraId="642107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学生报名：符合条件的学生填写《山东农业大学推荐免试研究生申请表》，加盖学院公章的学习成绩单、外语水平证明原件及复印件等支撑材料，能反映科研创新意识、创新能力和专业能力的科研记录（由所在实验室指导老师签字）、专业教师推荐信、科技成果和获奖证书（原件及复印件）等，按照学院的时间要求报至学院教学办公室。</w:t>
      </w:r>
    </w:p>
    <w:p w14:paraId="593445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学院考核：在学院推荐免试工作小组指导下，学科专家综合评价小组根据学院推免条件对学生材料进行审查，合格后方可进行科研创新能力考查工作。既注重学习成绩、一贯表现，也重视科研创新潜质和专业素质能力的考核。注重加强对学生本科阶段学习情况的过程评价，将本科阶段学业综合成绩作为推免工作基础的遴选条件，综合评价学生的各方面表现，学生在某一方面中有多项加分情况时，原则上只取一项，不得为仅符合单一或部分遴选指标的学生单列计划或破格推荐。</w:t>
      </w:r>
    </w:p>
    <w:p w14:paraId="25448B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院根据学习成绩和学生综合考核得分计算成绩进行排序，排序成绩具体计算公式：排序成绩=学习成绩×60%+创新能力得分×25%+综合素质得分×15%，排序成绩保留到小数点后2位，排序成绩相同的，以学习成绩高低作为排序依据。学院按照排序成绩从高到低对满足推免基本条件且参加推免综合评价的学生进行名次排位，并在一定范围内公示，公示时间不少于1日，主动接受监督。</w:t>
      </w:r>
    </w:p>
    <w:p w14:paraId="2156AEE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校审核：学院将公示后的推免生名单汇总表由学院主要领导签字、加盖学院公章后，连同推免生的相关材料报学校推免生遴选推荐委员会办公室。学校推免生遴选推荐委员会审核后将推免生名单进行公示，公示时间不少于7日。学校通过“推免服务系统”，将推免生名单报上级审核备案。</w:t>
      </w:r>
    </w:p>
    <w:p w14:paraId="0E0CF6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commentReference w:id="1"/>
      </w:r>
      <w:r>
        <w:rPr>
          <w:rFonts w:hint="eastAsia" w:ascii="Times New Roman" w:hAnsi="Times New Roman" w:eastAsia="仿宋_GB2312" w:cs="Times New Roman"/>
          <w:sz w:val="32"/>
          <w:szCs w:val="32"/>
          <w:lang w:val="en-US" w:eastAsia="zh-CN"/>
        </w:rPr>
        <w:t xml:space="preserve">6. </w:t>
      </w:r>
      <w:r>
        <w:rPr>
          <w:rFonts w:hint="default" w:ascii="Times New Roman" w:hAnsi="Times New Roman" w:eastAsia="仿宋_GB2312" w:cs="Times New Roman"/>
          <w:sz w:val="32"/>
          <w:szCs w:val="32"/>
          <w:lang w:val="en-US" w:eastAsia="zh-CN"/>
        </w:rPr>
        <w:t>推免生可通过“推免服务系统”查询推免生招生单位的招收章程和专</w:t>
      </w:r>
      <w:r>
        <w:rPr>
          <w:rFonts w:hint="eastAsia" w:ascii="Times New Roman" w:hAnsi="Times New Roman" w:eastAsia="仿宋_GB2312" w:cs="Times New Roman"/>
          <w:sz w:val="32"/>
          <w:szCs w:val="32"/>
          <w:lang w:val="en-US" w:eastAsia="zh-CN"/>
        </w:rPr>
        <w:t>业目录，填写报考志愿，接收并确认招生单位的复试及待录取通知。</w:t>
      </w:r>
    </w:p>
    <w:p w14:paraId="2C8D72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五、附则</w:t>
      </w:r>
    </w:p>
    <w:p w14:paraId="1F2C97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学生申请的相关成果及支撑材料须于2026年9月6日（含）前正式取得，并按要求提交，逾期取得或提交的不予认可。</w:t>
      </w:r>
    </w:p>
    <w:p w14:paraId="0DCFF4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实行回避制度。学院中层及以上领导干部和推免相关工作人员，如有直系亲属或其他利益相关者报名参加学院当年度推免的，应主动向学院报备并全程回避；如有非直系亲属等报名参加学院当年度推免的，应主动向学院报备。对未按回避制度规定报备的中层及以上领导干部和推免招生工作人员，一经查实将依规依纪严肃处理。</w:t>
      </w:r>
    </w:p>
    <w:p w14:paraId="0C5205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以上情况相关学生申请或报名时应主动向学院报备，汇总后报学校备案，学院在综合考核中加强监督和管理。对未按回避制度规定报备且影响 推免招生工作过程和结果公平公正的学生，一经查实，取消其推免生资格。</w:t>
      </w:r>
    </w:p>
    <w:p w14:paraId="185C695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推免工作中有违反国家有关法律法规和招生管理规定行为的工作人员，按《普通高等学校招生违规行为处理暂行办法》(教育部令第36号)严肃处理，并追究直接责任人员的责任，造成严重后果和恶劣影响的，将按规定对相关责任人实行问责。</w:t>
      </w:r>
    </w:p>
    <w:p w14:paraId="33293B7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在申请推免过程中弄虚作假的学生，取消其推免资格。</w:t>
      </w:r>
    </w:p>
    <w:p w14:paraId="01EF386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学院主页开辟专栏，及时公布推免办法、推免名额、申诉渠道、拟推免名单等信息。如对推免结果有异议，以实名的书面材料向学院推荐免试工作小组反映。</w:t>
      </w:r>
    </w:p>
    <w:p w14:paraId="3CB2356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本办法由学院推荐免试工作小组负责解释，自发文之日起执行。</w:t>
      </w:r>
    </w:p>
    <w:p w14:paraId="566C94A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90A48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rPr>
      </w:pPr>
    </w:p>
    <w:p w14:paraId="1805DD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山东农业大学</w:t>
      </w:r>
      <w:r>
        <w:rPr>
          <w:rFonts w:hint="default" w:ascii="Times New Roman" w:hAnsi="Times New Roman" w:eastAsia="仿宋_GB2312" w:cs="Times New Roman"/>
          <w:sz w:val="32"/>
          <w:szCs w:val="32"/>
        </w:rPr>
        <w:t>资源与环境学院</w:t>
      </w:r>
    </w:p>
    <w:p w14:paraId="09EE7F1C">
      <w:pPr>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2026年9月</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日</w:t>
      </w:r>
    </w:p>
    <w:p w14:paraId="57748802">
      <w:pPr>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2D36C17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rPr>
        <w:t>期刊目录：Nature Climate Change, Nature Geoscience, Soil Biology and Biochemistry, Agriculture,  Ecosystems &amp; Environment, Agricultural Water Management, Nature Sustainability, Global Change Biology, ISME Journal, Ecology Letters, Global Environmental Change‑Human and Policy Dimensions, Geography and Sustainability, Water Research, Journal of Hazardous Materials, Bioresource Technology, Environment International, One Earth, Frontiers in Ecology and the Environment, Landscape and Urban Planning, Environmental Health Perspectives, Resources,  Conservation and Recycling, Applied Catalysis B‑Environmental, Chemical Engineering Journal, Innovation, National Science Review, Science Bulletin, Journal of Advanced Research, Research, Journal of Hydrology, Water Resources Research, Pesticide Biochemistry and Physiology, ACS Nano, Environmental Science &amp; Technology, Sustainable Production and Consumption, Global Ecology and Biogeography, Journal of Cleaner Production, Conservation Letters, Journal of Applied Ecology, Environmental Science and Ecotechnology, Biological Conservation, Journal of Animal Ecology, Ecological Monographs, Functional Ecology, Journal of Ecology, Ecography, Sustainable Development, Conservation Biology, People and Nature, Journal of Environmental Informatics, Sensors and Actuators B: Chemical, Journal of Colloid and Interface Science, Separation and Purification Technology, Plant Cell and Environment, ACS Applied Materials &amp; Interfaces, ACS Applied Nano Materials, ACS ES&amp;T Water, Annual Review of Environment and Resources, Applied and Environmental Microbiology, Applied Soil Ecology, Applied Surface Science, Aquatic Toxicology, Atmospheric Environment, Atmospheric Pollution Research, Biochar, Biogeochemistry, Biogeosciences, Biotechnology Advances, Climate Dynamics, Climate Risk Management, Climate Services, Climatic Change, Critical Reviews in Environmental Science and Technology, Current Opinion in Microbiology, Current Pollution Reports, Eco‑Environment &amp; Health, Ecohealth, Ecohydrology, Ecological Applications, Ecological Economics, Ecological Engineering, Ecological Processes, Ecology, Ecology and Evolution, Ecosphere, Ecosystem Health and Sustainability, Ecosystem Services, Ecosystems, Ecotoxicology and Environmental Safety, Electrochimica Acta, Energy Policy, Environmental and Experimental Botany, Environmental Chemistry Letters, Environmental Development, Environmental Geochemistry and Health, Environmental Health, Environmental Microbiology, Environmental Microbiome, Environmental Modelling &amp; Software, Environmental Pollution, Environmental Research, Environmental Research Letters, Environmental Reviews, Environmental Science &amp; Policy, Environmental Science &amp; Technology Letters, Environmental Science: Nano, Environmental Technology &amp; Innovation, Environmental Toxicology and Pharmacology, European Journal of Soil Biology, European Journal of Soil Science, Exposure and Health, Forestry, Frontiers in Earth Science, Frontiers in Environmental Science, Frontiers in Microbiology, Frontiers in Nutrition, Frontiers in Plant Science, Frontiers of Environmental Science &amp; Engineering, Fungal Ecology, Geoderma Regional, Geohealth, Global Biogeochemical Cycles, Human and Ecological Risk Assessment, IEEE Access, IEEE Geoscience and Remote Sensing Letters, Indoor Air, International Biodeterioration &amp; Biodegradation, International Journal of Agricultural and Biological Engineering, International Journal of Agricultural Sustainability, International Journal of Disaster Risk Science, International Journal of Greenhouse Gas Control, International Journal of Remote Sensing, International Journal of Sediment Research, Irrigation Science, ISPRS International Journal of Geo‑Information, Journal of Agricultural and Food Chemistry, Journal of Agronomy and Crop Science, Journal of Arid Land, Journal of Asian Earth Sciences, Journal of Climate, Journal of Earth Science, Journal of Environmental Chemical Engineering, Journal of Environmental Management, Journal of Environmental Scienc</w:t>
      </w:r>
      <w:r>
        <w:rPr>
          <w:rFonts w:hint="default" w:ascii="Times New Roman" w:hAnsi="Times New Roman" w:eastAsia="仿宋_GB2312" w:cs="Times New Roman"/>
          <w:sz w:val="30"/>
          <w:szCs w:val="30"/>
        </w:rPr>
        <w:t>es, Journal of Experimental Botany, Journal of Geophysical Research‑Atmospheres, Journal of Geophysical Research‑Biogeosciences, Journal of Hydrology‑Regional Studies, Journal of Materials Chemistry A, Journal of Mountain Science, Journal of Plant Ecology, Journal of the Science of Food and Agriculture, Journal of Water Process Engineering, Land, Land Degradation &amp; Development, Marine Environmental Research, Marine Geology, Marine Pollution Bulletin, Materials Today Chemistry, Microbial Biotechnology, Microbiology Spectrum, Microorganisms, Pedosphere, Physiologia Plantarum, Plant and Soil, Plant Physiology and Biochemistry, Plant Science, Process Safety and Environmental Protection, Progress in Organic Coatings, Regional Environmental Change, Remote Sensing, Reviews in Environmental Science and Bio‑Technology, Reviews of Environmental Contamination and Toxicology, Scientific Reports, Sensors, Soil, Soil &amp; Environmental Health, Sustainability, Sustainability Science, Waste Management, Water, Water Research X, ACS Omega, Applied Water Science, Aquatic Ecology, Aquatic Ecosystem Health &amp; Management, Archives of Environmental Contamination and Toxicology, Atmosphere, Bulletin of Environmental Contamination and Toxicology, Carbon Research, Comparative Biochemistry and Physiology C: Toxicology &amp; Pharmacology, Crop Science, Earth and Environmental Science, Ecological Research, Ecotoxicology, Environment, Environment,  Development and Sustainability, Environment Protection Engineering, Environmental Chemistry, Environmental Earth Sciences, Environmental Engineering Research, Environmental Management, Environmental Microbiology Reports, Environmental Monitoring and Assessment, Environmental Pollutants and Bioavailability, Environmental Research Communications, Environmental Science: Processes &amp; Impacts, Environmental Sciences Europe, Environmental Toxicology and Chemistry, Frontiers in Ecology and Evolution, Frontiers of Earth Science, International Journal of Environmental Health Research, International Journal of Environmental Research and Public Health, International Journal of Fruit Science, Journal of Environmental Health, Journal of Environmental Science and Health,  Part B, Journal of Plant Nutrition and Soil Science, Journal of Polymers and The Environment, Journal of Soil and Water Conservation, Journal of Soil Science and Plant Nutrition, Journal of Soils and Sediments, Journal of Solid State Chemistry, Journal of Xenobiotics, Journal of Environmental Quality, Molecular Plant‑Microbe Interactions, NanoImpact, Plant Growth Regulation, Plant Pathology, Plant Production Science, Plant Soil and Environment, Soil Ecology Letters, Toxics, Waste Management &amp; Research, Water Air and Soil Pollution, Water Resources, Water Resources Management, Urban Forestry &amp; Urban Greening, Alexandria Engineering Journal, Chinese Geographical Science, Regional Studies in Marine Science, Land Use Policy, ISPRS Journal of Photogrammetry and Remote Sensing, IEEE Transactions on Geoscience and Remote Sensing, International Journal of Applied Earth Observation and Geoinformation, Computers and Electronics in Agriculture, CATENA, Journal of Remote Sensing, IEEE Journal of Selected Topics in Applied Earth Observations and Remote Sensing, Soil &amp; Tillage Research, Geoderma, Habitat International, Ecological Indicators, Ecological Informatics, Sustainable Futures, Carbon Balance and Management, Resources,  Environment and Sustainability, Applied Geography, Agronomy, Earth's Future, Horticulturae, Soil Use and Management, Sustainable Environment Research, Results in Engineering, Journal of Integrative Agriculture, Artificial Intelligence in Agriculture, Precision Agriculture, Remote Sensing Letters, Weather and Climate Extremes, Urban Ecosystems, Ecological Frontiers, Energy, International Journal of Disaster Risk Reduction, Journal of Geographical Sciences, Geomorphology, Communications Earth &amp; Environment, Renewable and Sustainable Energy Reviews, Environmental Impact Assessment Review, Landscape Ecology,</w:t>
      </w:r>
      <w:r>
        <w:rPr>
          <w:rFonts w:hint="default" w:ascii="Times New Roman" w:hAnsi="Times New Roman" w:eastAsia="仿宋_GB2312" w:cs="Times New Roman"/>
          <w:sz w:val="30"/>
          <w:szCs w:val="30"/>
        </w:rPr>
        <w:t xml:space="preserve"> Humanities &amp; Social Sciences Communications, Global Ecology and Conservation, Emerging Markets Finance and Trade, International Journal of Pattern Recognition and Artificial Intelligence, Frontiers in Marine Science, Nature Communications, Field Crops Research, Biology and Fertility of Soils, npj Biofilms and Microbiomes, New Phytologist, Microbiome, Food Chemistry, ACS Sustainable Chemistry &amp; Engineering, European Journal of Agronomy, Plant Journal, mBio, Journal of Industrial and Engineering Chemistry, International Journal of Biological Macromolecules, Industrial &amp; Engineering Chemistry Research, mSystems, Chemical Engineering Science, Nutrient Cycling in Agroecosystems, Journal of Plant Nutrition, Microbial Ecology, FEMS Microbiology Ecology, Soil Science Society of America Journal, Soil Research, Soil Systems, Vadose Zone Journal, Archives of Agronomy and Soil Science, Annals of Botany, Plant Physiology, Plant Cell Reports, Functional Plant Biology, Chemosphere, Agricultural Systems, Journal of Arid Environments, Biomass and Bioenergy, Pedobiologia, Soil and Water Research, Frontiers in Soil Science, Spanish Journal of Soil Science, Canadian Journal of Soil Science, Soil Science and Plant Nutrition, Egyptian Journal of Soil Science, Arid Land Research and Management, Revista Brasileira de Ciencia do Solo, Applied and Environmental Soil Science, Acta Agriculturae Scandinavica Section B‑Soil and Plant Science, Agrochimica, Sains Tanah, Soil &amp; Environment, Soil Science Annual, Eurasian Soil Science, Terra Latinoamericana, Compost Science &amp; Utilization, Malaysian Journal of Soil Science, Communications in Soil Science and Plant Analysis, Journal of Agricultural Science, Soil Science,</w:t>
      </w:r>
      <w:r>
        <w:rPr>
          <w:rFonts w:hint="eastAsia" w:ascii="Times New Roman" w:hAnsi="Times New Roman" w:eastAsia="仿宋_GB2312" w:cs="Times New Roman"/>
          <w:sz w:val="30"/>
          <w:szCs w:val="30"/>
          <w:lang w:val="en-US" w:eastAsia="zh-CN"/>
        </w:rPr>
        <w:t>中国环境科学,中国科学,中国科学：地球科学,中国矿业大学学报,中国农业科学,中国生态农业学报,大气科学,大气科学学报,中国农学通报,地球学报,环境工程学报,环境化学,环境科学,环境科学学报,环境科学研究,科学通报,农业环境科学学报,农业资源与环境学报,山东农业大学学报,生态毒理学报,生态环境学报,生态学报,土壤通报,土壤学报,应用生态学报,自然资源遥感,作物学报,安全与环境工程,安全与环境学报,地球科学与环境学报,地球与环境,海洋环境科学,环境保护,环境工程,环境工程技术学报,环境科学与技术,环境污染与防治,环境与健康杂志,土木与环境工程学报,微生物学报,微生物学通报,应用与环境生物学报,中国环境监测,生态学杂志,生态与农村环境学报,化工环保,煤炭学报,煤炭科学技术,中国矿业,中国土地,农业工程学报,干旱区地理,山东国土资源,中国煤炭,中国土地科学,灌溉排水学报,城市发展研究,城市规划,城市规划学刊,城市问题,地理科学,地理科学进展,地理学报,地理研究,经济地理,旅游科学,旅游学刊,人文地理,地域研究与开发,规划师,国际城市规划,世界地理研究,城市与环境研究,干旱区资源与环境,长江流域资源与环境,中国人口・资源与环境,资源科学,自然资源学报,中国环境管理,中国农业资源与区划,电子政务,工程管理科技前沿,公共管理评论,公共管理学报,公共管理与政策评论,管理工程学报,管理科学,管理科学学报,管理评论,管理世界,管理学报,管理学刊,宏观质量研究,华东经济管理,会计评论,会计研究,会计与经济研究,经济管理,经济体制改革,科技进步与对策,科学管理研究,科学决策,科学学研究,科学学与科学技术管理,科研管理,南开管理评论,软科学,社会保障评论,审计研究,审计与经济研究,外国经济与管理,系统工程理论与实践,研究与发展管理,治理研究,中国管理科学,中国科技论坛,中国科学院院刊,中国软科学,中国行政管理,组织与管理,财务研究,当代经济管理,地方治理研究,管理案例研究与评论,宏观经济管理,科技管理研究,科学与社会,社会保障研究,系统工程,系统管理学报,行政管理改革,营销科学学报,运筹与管理,智库理论与实践,中国科学基金,中国人力资源开发,北京工商大学学报(人文社会科学版),财经科学,财经理论与实践,财经论丛,财经问题研究,财经研究,财贸经济,财贸研究,财政研究,产业经济研究,当代财经,当代经济科学,当代经济研究,改革,广东财经大学学报,贵州财经大学学报,国际金融研究,国际经济评论,国际经贸探索,国际贸易,国际贸易问题,国际商务（对外经济贸易大学学报）,宏观经济研究,江西财经大学学报,金融监管研究,金融经济学研究,金融论坛,金融评论,金融研究,经济经纬,经济科学,经济理论与经济管理,经济评论,经济社会体制比较,经济问题,经济问题探索,经济学(季刊),经济学报,经济学动态,经济学家,经济研究,经济与管理研究,经济纵横,劳动经济研究,南方经济,南开经济研究,农村经济,农业技术经济,农业经济问题,山西财经大学学报,商业经济与管理,商业研究,上海财经大学学报,上海经济研究,世界经济,世界经济文汇,世界经济研究,世界经济与政治论坛,数量经济技术经济研究,税务研究,现代财经（天津财经大学学报）,现代经济探讨,现代日本经济,亚太经济,证券市场导报,政治经济学评论,中国工业经济,中国经济问题,中国农村观察,中国农村经济,中南财经政法大学学报,中央财经大学学报,财政科学,产经评论,产业经济评论,地方财政研究,工业技术经济,国际经济合作,国际商务研究,国际税收,哈尔滨商业大学学报(社会科学版),河北经贸大学学报,环境经济研究,计量经济学报,技术经济,经济与管理,经济与管理评论,南方金融,南京财经大学学报,南京审计大学学报,农林经济管理学报,农业经济与管理,区域经济评论,上海对外经贸大学学报,上海金融,世界农业,首都经济贸易大学学报,税务与经济,投资研究,西安财经大学学报,西部论坛,消费经济,云南财经大学学报,政治经济学研究,中国流通经济,北京社会科学,东南学术,东岳论丛,读书,福建论坛(人文社会科学版),甘肃社会科学,广东社会科学,贵州社会科学,河北学刊,江海学刊,江汉论坛,江淮论坛,江苏社会科学,江西社会科学,开放时代,南京社会科学,内蒙古社会科学,宁夏社会科学,青海社会科学,求是学刊,求索,人民论坛,人文杂志,山东社会科学,社会科学,社会科学辑刊,社会科学研究,社会科学战线,思想战线,探索与争鸣,天津社会科学,文化纵横,文史哲,新疆社会科学,学海,学术界,学术论坛,学术前沿,学术研究,学术月刊,学习与实践,学习与探索,云南社会科学,浙江社会科学,浙江学刊,中国高校社会科学,中国社会科学,中国社会科学评价,中州学刊,重庆社会科学,广西社会科学,河南社会科学,湖北社会科学,湖南社会科学,兰州学刊,理论月刊,社会科学家,天府新论,学术交流,学术探索,中国社会科学院大学学报,中国图书评论,中国文化研究,东方学刊,植物营养与肥料学报,土壤,中国土壤与肥料,水土保持学报,中国水土保持科学,水土保持研究,测绘学报,遥感学报,山地学报,水利学报,植物生态学报,植物生理学报,园艺学报,中国水稻科学,棉花学报,草业学报,中国草地学报,麦类作物学报,中国油料作物学报,地球科学,南京农业大学学报,中国农业大学学报,吉林农业大学学报,华中农业大学学报,西北农林科技大学学报,农业现代化研究,水土保持通报,山东农业科学,江苏农业科学,安徽农业科学,资源环境与工程。</w:t>
      </w:r>
    </w:p>
    <w:p w14:paraId="64F73A1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sz w:val="30"/>
          <w:szCs w:val="30"/>
          <w:lang w:eastAsia="zh-CN"/>
        </w:rPr>
      </w:pPr>
      <w:bookmarkStart w:id="0" w:name="_GoBack"/>
      <w:r>
        <w:rPr>
          <w:rFonts w:hint="default" w:ascii="Times New Roman" w:hAnsi="Times New Roman" w:eastAsia="仿宋_GB2312" w:cs="Times New Roman"/>
          <w:sz w:val="30"/>
          <w:szCs w:val="30"/>
        </w:rPr>
        <w:t>竞赛目录</w:t>
      </w:r>
      <w:bookmarkEnd w:id="0"/>
      <w:r>
        <w:rPr>
          <w:rFonts w:hint="default" w:ascii="Times New Roman" w:hAnsi="Times New Roman" w:eastAsia="仿宋_GB2312" w:cs="Times New Roman"/>
          <w:sz w:val="30"/>
          <w:szCs w:val="30"/>
        </w:rPr>
        <w:t>：中国国际大学生创新大赛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山东省“互联网+”大学生创新创业大赛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全国林业草原创新创业大赛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全国农业资源与环境专业大学生实践技能竞赛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全国大学生土地整治与生态修复工程创新设计大赛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全国大学生农业建筑环境与能源工程相关专业创新创业竞赛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全国大学生国土空间规划技能大</w:t>
      </w:r>
      <w:r>
        <w:rPr>
          <w:rFonts w:hint="eastAsia" w:ascii="Times New Roman" w:hAnsi="Times New Roman" w:eastAsia="仿宋_GB2312" w:cs="Times New Roman"/>
          <w:sz w:val="30"/>
          <w:szCs w:val="30"/>
          <w:lang w:val="en-US" w:eastAsia="zh-CN"/>
        </w:rPr>
        <w:t>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山东省大学生课外学术科技作品竞赛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山东省科技创新大赛</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山东省大学生</w:t>
      </w:r>
      <w:r>
        <w:rPr>
          <w:rFonts w:hint="default" w:ascii="Times New Roman" w:hAnsi="Times New Roman" w:eastAsia="仿宋_GB2312" w:cs="Times New Roman"/>
          <w:sz w:val="30"/>
          <w:szCs w:val="30"/>
        </w:rPr>
        <w:t>移动互联创新大赛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建设银行山东省大学生创业计划竞赛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山东省大学生乡村环境与能源应用创新设计大赛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中国青年创新创业大赛乡村振兴专项赛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中国高校地理科学展示大赛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中华职业教育创新创业大赛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全国大学生乡村国土空间价值提升规划设计大赛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全国大学生地理科普暨科技大赛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中国大学生GIS软件开发竞赛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全国大学生不动产估价技能大赛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山东省大学生物理创新大赛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全国大学生数学竞赛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山东省大学生数学与数学建模竞赛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全国大学生英语竞赛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全国新文科实践创新大赛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全国大学生“人工智能+”创新创业大赛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全国大学生英语词汇大赛</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UNIPP大学生英语应用大赛</w:t>
      </w:r>
      <w:r>
        <w:rPr>
          <w:rFonts w:hint="eastAsia" w:ascii="Times New Roman" w:hAnsi="Times New Roman" w:eastAsia="仿宋_GB2312" w:cs="Times New Roman"/>
          <w:sz w:val="30"/>
          <w:szCs w:val="30"/>
          <w:lang w:eastAsia="zh-CN"/>
        </w:rPr>
        <w:t>。</w:t>
      </w:r>
    </w:p>
    <w:p w14:paraId="229F0932">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0"/>
          <w:szCs w:val="30"/>
        </w:rPr>
        <w:t>未在以上期刊或竞赛目录认定范围内，经学生提出申请，学院推荐免试工作小组认定，可纳入认定范围</w:t>
      </w:r>
      <w:r>
        <w:rPr>
          <w:rFonts w:hint="eastAsia" w:ascii="Times New Roman" w:hAnsi="Times New Roman" w:eastAsia="仿宋_GB2312" w:cs="Times New Roman"/>
          <w:sz w:val="30"/>
          <w:szCs w:val="30"/>
          <w:lang w:eastAsia="zh-CN"/>
        </w:rPr>
        <w:t>。</w:t>
      </w:r>
    </w:p>
    <w:sectPr>
      <w:footerReference r:id="rId5" w:type="default"/>
      <w:pgSz w:w="11906" w:h="16838"/>
      <w:pgMar w:top="1587" w:right="1871" w:bottom="1474" w:left="1701"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hp" w:date="2026-09-04T17:57:31Z" w:initials="h">
    <w:p w14:paraId="2301241B">
      <w:pPr>
        <w:pStyle w:val="2"/>
        <w:rPr>
          <w:rFonts w:hint="default" w:eastAsiaTheme="minorEastAsia"/>
          <w:lang w:val="en-US" w:eastAsia="zh-CN"/>
        </w:rPr>
      </w:pPr>
      <w:r>
        <w:rPr>
          <w:rFonts w:hint="eastAsia"/>
          <w:lang w:val="en-US" w:eastAsia="zh-CN"/>
        </w:rPr>
        <w:t>根据学校文件补充</w:t>
      </w:r>
    </w:p>
  </w:comment>
  <w:comment w:id="1" w:author="hp" w:date="2026-09-04T18:00:40Z" w:initials="h">
    <w:p w14:paraId="2F1D8CB2">
      <w:pPr>
        <w:pStyle w:val="2"/>
        <w:rPr>
          <w:rFonts w:hint="default" w:eastAsiaTheme="minorEastAsia"/>
          <w:lang w:val="en-US" w:eastAsia="zh-CN"/>
        </w:rPr>
      </w:pPr>
      <w:r>
        <w:rPr>
          <w:rFonts w:hint="eastAsia"/>
          <w:lang w:val="en-US" w:eastAsia="zh-CN"/>
        </w:rPr>
        <w:t>加上学校文件第6条</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301241B" w15:done="0"/>
  <w15:commentEx w15:paraId="2F1D8CB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786A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761B9">
                          <w:pPr>
                            <w:pStyle w:val="3"/>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C761B9">
                    <w:pPr>
                      <w:pStyle w:val="3"/>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45CA56"/>
    <w:multiLevelType w:val="singleLevel"/>
    <w:tmpl w:val="E545CA56"/>
    <w:lvl w:ilvl="0" w:tentative="0">
      <w:start w:val="5"/>
      <w:numFmt w:val="decimal"/>
      <w:suff w:val="space"/>
      <w:lvlText w:val="%1."/>
      <w:lvlJc w:val="left"/>
    </w:lvl>
  </w:abstractNum>
  <w:abstractNum w:abstractNumId="1">
    <w:nsid w:val="10C1D874"/>
    <w:multiLevelType w:val="singleLevel"/>
    <w:tmpl w:val="10C1D874"/>
    <w:lvl w:ilvl="0" w:tentative="0">
      <w:start w:val="3"/>
      <w:numFmt w:val="decimal"/>
      <w:suff w:val="space"/>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jNTU3NGE5MGYwZWM0N2E0Njk1NTU5ZjExNTE4OGMifQ=="/>
  </w:docVars>
  <w:rsids>
    <w:rsidRoot w:val="3998225C"/>
    <w:rsid w:val="01D32DCE"/>
    <w:rsid w:val="02ED7EC0"/>
    <w:rsid w:val="059D3E1F"/>
    <w:rsid w:val="05E25CD6"/>
    <w:rsid w:val="07446F84"/>
    <w:rsid w:val="07B32058"/>
    <w:rsid w:val="08B5322E"/>
    <w:rsid w:val="0AE75B3C"/>
    <w:rsid w:val="0BB21CA6"/>
    <w:rsid w:val="0C85560D"/>
    <w:rsid w:val="0E453AF1"/>
    <w:rsid w:val="0F5F3EF3"/>
    <w:rsid w:val="12017E88"/>
    <w:rsid w:val="126D2DCB"/>
    <w:rsid w:val="136E6DFB"/>
    <w:rsid w:val="14240012"/>
    <w:rsid w:val="14E8747B"/>
    <w:rsid w:val="15267261"/>
    <w:rsid w:val="197C38F4"/>
    <w:rsid w:val="1B324BB2"/>
    <w:rsid w:val="1F9F4B0D"/>
    <w:rsid w:val="22280ABD"/>
    <w:rsid w:val="26BC67F0"/>
    <w:rsid w:val="288D78CB"/>
    <w:rsid w:val="28A54C15"/>
    <w:rsid w:val="28B430AA"/>
    <w:rsid w:val="2A1738F0"/>
    <w:rsid w:val="2A77613D"/>
    <w:rsid w:val="2B3109E2"/>
    <w:rsid w:val="2B8B689B"/>
    <w:rsid w:val="2E47051C"/>
    <w:rsid w:val="2EA25753"/>
    <w:rsid w:val="2EA72D69"/>
    <w:rsid w:val="2F631386"/>
    <w:rsid w:val="30731155"/>
    <w:rsid w:val="330C71B9"/>
    <w:rsid w:val="36790FAE"/>
    <w:rsid w:val="37DA49DD"/>
    <w:rsid w:val="3998225C"/>
    <w:rsid w:val="3B903503"/>
    <w:rsid w:val="3DF8713D"/>
    <w:rsid w:val="4020340A"/>
    <w:rsid w:val="40364AF5"/>
    <w:rsid w:val="41C83F82"/>
    <w:rsid w:val="42FB3958"/>
    <w:rsid w:val="43E07F10"/>
    <w:rsid w:val="49A936D2"/>
    <w:rsid w:val="4AEB13BE"/>
    <w:rsid w:val="4B6978CC"/>
    <w:rsid w:val="4CCE3E8B"/>
    <w:rsid w:val="4E555EE6"/>
    <w:rsid w:val="51E732F9"/>
    <w:rsid w:val="54BB73DC"/>
    <w:rsid w:val="55284354"/>
    <w:rsid w:val="56E63E95"/>
    <w:rsid w:val="58A40196"/>
    <w:rsid w:val="5BA4794E"/>
    <w:rsid w:val="5E0A3D7D"/>
    <w:rsid w:val="61AF0D51"/>
    <w:rsid w:val="64F102BF"/>
    <w:rsid w:val="678E44EB"/>
    <w:rsid w:val="685272C6"/>
    <w:rsid w:val="68F212D4"/>
    <w:rsid w:val="68FB5BB0"/>
    <w:rsid w:val="6BFD1C3F"/>
    <w:rsid w:val="6E443B55"/>
    <w:rsid w:val="71C70D25"/>
    <w:rsid w:val="7483179B"/>
    <w:rsid w:val="76E61C4D"/>
    <w:rsid w:val="78FD20AB"/>
    <w:rsid w:val="7E394D59"/>
    <w:rsid w:val="7E3F1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7428</Words>
  <Characters>15510</Characters>
  <Lines>0</Lines>
  <Paragraphs>0</Paragraphs>
  <TotalTime>10</TotalTime>
  <ScaleCrop>false</ScaleCrop>
  <LinksUpToDate>false</LinksUpToDate>
  <CharactersWithSpaces>16351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2026-09-04T04:29:00Z</dcterms:created>
  <dc:creator>poppy</dc:creator>
  <cp:lastModifiedBy>poppy</cp:lastModifiedBy>
  <dcterms:modified xsi:type="dcterms:W3CDTF">2026-09-04T14:43:36Z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6A217AFE58A5424F88C39AF2EE2C5DCD_13</vt:lpwstr>
  </property>
  <property fmtid="{D5CDD505-2E9C-101B-9397-08002B2CF9AE}" pid="4" name="KSOTemplateDocerSaveRecord">
    <vt:lpwstr>eyJoZGlkIjoiOTZmMGNjMDA2M2UyNmJmYzliZTg0ZjQ2ZjZhZmMzYWYiLCJ1c2VySWQiOiIyNTg5NTYzNDkifQ==</vt:lpwstr>
  </property>
</Properties>
</file>